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D79728" w14:textId="616A9CE5" w:rsidR="00FF52D7" w:rsidRPr="007C17A7" w:rsidRDefault="0012116A" w:rsidP="00FF52D7">
      <w:pPr>
        <w:shd w:val="clear" w:color="auto" w:fill="FFFFFF" w:themeFill="background1"/>
        <w:spacing w:after="0" w:line="240" w:lineRule="auto"/>
        <w:rPr>
          <w:rFonts w:ascii="Calibri" w:hAnsi="Calibri" w:cs="Calibri"/>
          <w:b/>
          <w:bCs/>
          <w:sz w:val="24"/>
          <w:szCs w:val="24"/>
        </w:rPr>
      </w:pPr>
      <w:r>
        <w:rPr>
          <w:rFonts w:ascii="Calibri" w:eastAsiaTheme="majorEastAsia" w:hAnsi="Calibri" w:cs="Calibri"/>
          <w:bCs/>
          <w:i/>
          <w:noProof/>
          <w:color w:val="1F3864" w:themeColor="accent1" w:themeShade="80"/>
          <w:sz w:val="36"/>
          <w:szCs w:val="36"/>
          <w:lang w:val="en-US"/>
        </w:rPr>
        <w:drawing>
          <wp:anchor distT="0" distB="0" distL="114300" distR="114300" simplePos="0" relativeHeight="251665408" behindDoc="0" locked="0" layoutInCell="1" allowOverlap="1" wp14:anchorId="3B822716" wp14:editId="39DD37B2">
            <wp:simplePos x="0" y="0"/>
            <wp:positionH relativeFrom="column">
              <wp:posOffset>4025265</wp:posOffset>
            </wp:positionH>
            <wp:positionV relativeFrom="paragraph">
              <wp:posOffset>-2540</wp:posOffset>
            </wp:positionV>
            <wp:extent cx="1905000" cy="601345"/>
            <wp:effectExtent l="0" t="0" r="0" b="825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NCDC-new-logo + text.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5000" cy="601345"/>
                    </a:xfrm>
                    <a:prstGeom prst="rect">
                      <a:avLst/>
                    </a:prstGeom>
                  </pic:spPr>
                </pic:pic>
              </a:graphicData>
            </a:graphic>
            <wp14:sizeRelH relativeFrom="margin">
              <wp14:pctWidth>0</wp14:pctWidth>
            </wp14:sizeRelH>
          </wp:anchor>
        </w:drawing>
      </w:r>
      <w:r w:rsidR="00AD0BF3">
        <w:rPr>
          <w:rFonts w:ascii="Calibri" w:hAnsi="Calibri" w:cs="Calibri"/>
          <w:b/>
          <w:bCs/>
          <w:sz w:val="24"/>
          <w:szCs w:val="24"/>
          <w:lang w:val="en-US"/>
        </w:rPr>
        <w:t xml:space="preserve">       </w:t>
      </w:r>
      <w:r w:rsidR="009112DF">
        <w:rPr>
          <w:rFonts w:asciiTheme="majorHAnsi" w:eastAsiaTheme="majorEastAsia" w:hAnsiTheme="majorHAnsi" w:cstheme="majorBidi"/>
          <w:b/>
          <w:bCs/>
          <w:i/>
          <w:noProof/>
          <w:color w:val="2F5496" w:themeColor="accent1" w:themeShade="BF"/>
          <w:sz w:val="26"/>
          <w:szCs w:val="26"/>
        </w:rPr>
        <w:t xml:space="preserve">  </w:t>
      </w:r>
      <w:r w:rsidR="00AA1D32">
        <w:rPr>
          <w:rFonts w:ascii="Calibri" w:hAnsi="Calibri" w:cs="Calibri"/>
          <w:b/>
          <w:bCs/>
          <w:noProof/>
          <w:sz w:val="24"/>
          <w:szCs w:val="24"/>
          <w:lang w:val="en-US"/>
        </w:rPr>
        <w:drawing>
          <wp:inline distT="0" distB="0" distL="0" distR="0" wp14:anchorId="5211F3E1" wp14:editId="15C5CDCA">
            <wp:extent cx="2023638" cy="59338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MOH 1 Logo-ENG.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58151" cy="603507"/>
                    </a:xfrm>
                    <a:prstGeom prst="rect">
                      <a:avLst/>
                    </a:prstGeom>
                  </pic:spPr>
                </pic:pic>
              </a:graphicData>
            </a:graphic>
          </wp:inline>
        </w:drawing>
      </w:r>
      <w:r w:rsidR="009112DF">
        <w:rPr>
          <w:rFonts w:asciiTheme="majorHAnsi" w:eastAsiaTheme="majorEastAsia" w:hAnsiTheme="majorHAnsi" w:cstheme="majorBidi"/>
          <w:b/>
          <w:bCs/>
          <w:i/>
          <w:noProof/>
          <w:color w:val="2F5496" w:themeColor="accent1" w:themeShade="BF"/>
          <w:sz w:val="26"/>
          <w:szCs w:val="26"/>
        </w:rPr>
        <w:t xml:space="preserve">      </w:t>
      </w:r>
      <w:r w:rsidR="00AD0BF3">
        <w:rPr>
          <w:rFonts w:asciiTheme="majorHAnsi" w:eastAsiaTheme="majorEastAsia" w:hAnsiTheme="majorHAnsi" w:cstheme="majorBidi"/>
          <w:b/>
          <w:bCs/>
          <w:i/>
          <w:noProof/>
          <w:color w:val="2F5496" w:themeColor="accent1" w:themeShade="BF"/>
          <w:sz w:val="26"/>
          <w:szCs w:val="26"/>
          <w:lang w:val="en-US"/>
        </w:rPr>
        <w:drawing>
          <wp:inline distT="0" distB="0" distL="0" distR="0" wp14:anchorId="4F9AE1FA" wp14:editId="30D98896">
            <wp:extent cx="704850" cy="5784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1.jpg"/>
                    <pic:cNvPicPr/>
                  </pic:nvPicPr>
                  <pic:blipFill>
                    <a:blip r:embed="rId9">
                      <a:extLst>
                        <a:ext uri="{28A0092B-C50C-407E-A947-70E740481C1C}">
                          <a14:useLocalDpi xmlns:a14="http://schemas.microsoft.com/office/drawing/2010/main" val="0"/>
                        </a:ext>
                      </a:extLst>
                    </a:blip>
                    <a:stretch>
                      <a:fillRect/>
                    </a:stretch>
                  </pic:blipFill>
                  <pic:spPr>
                    <a:xfrm>
                      <a:off x="0" y="0"/>
                      <a:ext cx="704850" cy="578485"/>
                    </a:xfrm>
                    <a:prstGeom prst="rect">
                      <a:avLst/>
                    </a:prstGeom>
                  </pic:spPr>
                </pic:pic>
              </a:graphicData>
            </a:graphic>
          </wp:inline>
        </w:drawing>
      </w:r>
      <w:r>
        <w:rPr>
          <w:rFonts w:ascii="Calibri" w:hAnsi="Calibri" w:cs="Calibri"/>
          <w:b/>
          <w:bCs/>
          <w:sz w:val="24"/>
          <w:szCs w:val="24"/>
          <w:lang w:val="en-US"/>
        </w:rPr>
        <w:t xml:space="preserve">    </w:t>
      </w:r>
    </w:p>
    <w:p w14:paraId="3CCEC488" w14:textId="28007971" w:rsidR="00FF52D7" w:rsidRDefault="00FF52D7" w:rsidP="00FF52D7">
      <w:pPr>
        <w:pStyle w:val="Heading2"/>
        <w:rPr>
          <w:rFonts w:ascii="Calibri" w:eastAsiaTheme="majorEastAsia" w:hAnsi="Calibri" w:cs="Calibri"/>
          <w:b w:val="0"/>
          <w:bCs w:val="0"/>
          <w:i w:val="0"/>
          <w:color w:val="2F5496" w:themeColor="accent1" w:themeShade="BF"/>
        </w:rPr>
      </w:pPr>
      <w:r>
        <w:rPr>
          <w:rFonts w:ascii="Calibri" w:eastAsiaTheme="minorEastAsia" w:hAnsi="Calibri" w:cs="Calibri"/>
        </w:rPr>
        <w:t xml:space="preserve">     </w:t>
      </w:r>
      <w:r w:rsidRPr="00624570">
        <w:rPr>
          <w:rFonts w:ascii="Calibri" w:eastAsiaTheme="majorEastAsia" w:hAnsi="Calibri" w:cs="Calibri"/>
          <w:b w:val="0"/>
          <w:bCs w:val="0"/>
          <w:i w:val="0"/>
          <w:color w:val="2F5496" w:themeColor="accent1" w:themeShade="BF"/>
        </w:rPr>
        <w:t xml:space="preserve"> </w:t>
      </w:r>
      <w:r w:rsidRPr="00624570">
        <w:rPr>
          <w:rFonts w:ascii="Calibri" w:eastAsiaTheme="majorEastAsia" w:hAnsi="Calibri" w:cs="Calibri"/>
          <w:b w:val="0"/>
          <w:bCs w:val="0"/>
          <w:i w:val="0"/>
          <w:color w:val="2F5496" w:themeColor="accent1" w:themeShade="BF"/>
          <w:lang w:val="ka-GE"/>
        </w:rPr>
        <w:t xml:space="preserve"> </w:t>
      </w:r>
      <w:r w:rsidRPr="00624570">
        <w:rPr>
          <w:rFonts w:ascii="Calibri" w:eastAsiaTheme="majorEastAsia" w:hAnsi="Calibri" w:cs="Calibri"/>
          <w:b w:val="0"/>
          <w:bCs w:val="0"/>
          <w:i w:val="0"/>
          <w:color w:val="2F5496" w:themeColor="accent1" w:themeShade="BF"/>
        </w:rPr>
        <w:t xml:space="preserve">  </w:t>
      </w:r>
      <w:r>
        <w:rPr>
          <w:rFonts w:ascii="Calibri" w:eastAsiaTheme="majorEastAsia" w:hAnsi="Calibri" w:cs="Calibri"/>
          <w:b w:val="0"/>
          <w:bCs w:val="0"/>
          <w:i w:val="0"/>
          <w:color w:val="2F5496" w:themeColor="accent1" w:themeShade="BF"/>
        </w:rPr>
        <w:t xml:space="preserve">      </w:t>
      </w:r>
      <w:r w:rsidRPr="00624570">
        <w:rPr>
          <w:rFonts w:ascii="Calibri" w:eastAsiaTheme="majorEastAsia" w:hAnsi="Calibri" w:cs="Calibri"/>
          <w:b w:val="0"/>
          <w:bCs w:val="0"/>
          <w:i w:val="0"/>
          <w:color w:val="2F5496" w:themeColor="accent1" w:themeShade="BF"/>
        </w:rPr>
        <w:t xml:space="preserve">  </w:t>
      </w:r>
      <w:r w:rsidRPr="00624570">
        <w:rPr>
          <w:rFonts w:ascii="Calibri" w:eastAsiaTheme="majorEastAsia" w:hAnsi="Calibri" w:cs="Calibri"/>
          <w:b w:val="0"/>
          <w:bCs w:val="0"/>
          <w:i w:val="0"/>
          <w:color w:val="2F5496" w:themeColor="accent1" w:themeShade="BF"/>
          <w:lang w:val="ka-GE"/>
        </w:rPr>
        <w:t xml:space="preserve">          </w:t>
      </w:r>
      <w:r w:rsidRPr="00624570">
        <w:rPr>
          <w:rFonts w:asciiTheme="minorHAnsi" w:eastAsiaTheme="majorEastAsia" w:hAnsiTheme="minorHAnsi" w:cs="Calibri"/>
          <w:b w:val="0"/>
          <w:bCs w:val="0"/>
          <w:i w:val="0"/>
          <w:color w:val="2F5496" w:themeColor="accent1" w:themeShade="BF"/>
          <w:lang w:val="ka-GE"/>
        </w:rPr>
        <w:tab/>
      </w:r>
      <w:r>
        <w:rPr>
          <w:rFonts w:asciiTheme="minorHAnsi" w:eastAsiaTheme="majorEastAsia" w:hAnsiTheme="minorHAnsi" w:cs="Calibri"/>
          <w:b w:val="0"/>
          <w:bCs w:val="0"/>
          <w:i w:val="0"/>
          <w:color w:val="2F5496" w:themeColor="accent1" w:themeShade="BF"/>
        </w:rPr>
        <w:t xml:space="preserve">                   </w:t>
      </w:r>
      <w:r w:rsidRPr="00624570">
        <w:rPr>
          <w:rFonts w:asciiTheme="minorHAnsi" w:eastAsiaTheme="majorEastAsia" w:hAnsiTheme="minorHAnsi" w:cs="Calibri"/>
          <w:b w:val="0"/>
          <w:bCs w:val="0"/>
          <w:i w:val="0"/>
          <w:color w:val="2F5496" w:themeColor="accent1" w:themeShade="BF"/>
          <w:lang w:val="ka-GE"/>
        </w:rPr>
        <w:tab/>
      </w:r>
      <w:r w:rsidR="009112DF">
        <w:rPr>
          <w:rFonts w:asciiTheme="minorHAnsi" w:eastAsiaTheme="majorEastAsia" w:hAnsiTheme="minorHAnsi" w:cs="Calibri"/>
          <w:b w:val="0"/>
          <w:bCs w:val="0"/>
          <w:i w:val="0"/>
          <w:color w:val="2F5496" w:themeColor="accent1" w:themeShade="BF"/>
          <w:lang w:val="ka-GE"/>
        </w:rPr>
        <w:t xml:space="preserve">   </w:t>
      </w:r>
      <w:r>
        <w:rPr>
          <w:rFonts w:asciiTheme="minorHAnsi" w:eastAsiaTheme="majorEastAsia" w:hAnsiTheme="minorHAnsi" w:cs="Calibri"/>
          <w:b w:val="0"/>
          <w:bCs w:val="0"/>
          <w:i w:val="0"/>
          <w:color w:val="2F5496" w:themeColor="accent1" w:themeShade="BF"/>
        </w:rPr>
        <w:t xml:space="preserve">  </w:t>
      </w:r>
      <w:r w:rsidR="009112DF">
        <w:rPr>
          <w:rFonts w:asciiTheme="minorHAnsi" w:eastAsiaTheme="majorEastAsia" w:hAnsiTheme="minorHAnsi" w:cs="Calibri"/>
          <w:b w:val="0"/>
          <w:bCs w:val="0"/>
          <w:i w:val="0"/>
          <w:color w:val="2F5496" w:themeColor="accent1" w:themeShade="BF"/>
          <w:lang w:val="ka-GE"/>
        </w:rPr>
        <w:t xml:space="preserve">   </w:t>
      </w:r>
      <w:r>
        <w:rPr>
          <w:rFonts w:asciiTheme="minorHAnsi" w:eastAsiaTheme="majorEastAsia" w:hAnsiTheme="minorHAnsi" w:cs="Calibri"/>
          <w:b w:val="0"/>
          <w:bCs w:val="0"/>
          <w:i w:val="0"/>
          <w:color w:val="2F5496" w:themeColor="accent1" w:themeShade="BF"/>
        </w:rPr>
        <w:t xml:space="preserve">   </w:t>
      </w:r>
      <w:r w:rsidR="0012116A">
        <w:rPr>
          <w:rFonts w:asciiTheme="minorHAnsi" w:eastAsiaTheme="majorEastAsia" w:hAnsiTheme="minorHAnsi" w:cs="Calibri"/>
          <w:b w:val="0"/>
          <w:bCs w:val="0"/>
          <w:i w:val="0"/>
          <w:color w:val="2F5496" w:themeColor="accent1" w:themeShade="BF"/>
        </w:rPr>
        <w:t xml:space="preserve">   </w:t>
      </w:r>
      <w:r>
        <w:rPr>
          <w:rFonts w:asciiTheme="minorHAnsi" w:eastAsiaTheme="majorEastAsia" w:hAnsiTheme="minorHAnsi" w:cs="Calibri"/>
          <w:b w:val="0"/>
          <w:bCs w:val="0"/>
          <w:i w:val="0"/>
          <w:color w:val="2F5496" w:themeColor="accent1" w:themeShade="BF"/>
        </w:rPr>
        <w:t xml:space="preserve">            </w:t>
      </w:r>
      <w:r w:rsidRPr="00624570">
        <w:rPr>
          <w:rFonts w:ascii="Calibri" w:eastAsiaTheme="majorEastAsia" w:hAnsi="Calibri" w:cs="Calibri"/>
          <w:b w:val="0"/>
          <w:bCs w:val="0"/>
          <w:i w:val="0"/>
          <w:color w:val="2F5496" w:themeColor="accent1" w:themeShade="BF"/>
          <w:lang w:val="ka-GE"/>
        </w:rPr>
        <w:t xml:space="preserve">  </w:t>
      </w:r>
      <w:r w:rsidRPr="00624570">
        <w:rPr>
          <w:rFonts w:ascii="Calibri" w:eastAsiaTheme="majorEastAsia" w:hAnsi="Calibri" w:cs="Calibri"/>
          <w:b w:val="0"/>
          <w:bCs w:val="0"/>
          <w:i w:val="0"/>
          <w:color w:val="2F5496" w:themeColor="accent1" w:themeShade="BF"/>
        </w:rPr>
        <w:t xml:space="preserve">   </w:t>
      </w:r>
      <w:r w:rsidR="0012116A">
        <w:rPr>
          <w:rFonts w:ascii="Calibri" w:eastAsiaTheme="majorEastAsia" w:hAnsi="Calibri" w:cs="Calibri"/>
          <w:b w:val="0"/>
          <w:bCs w:val="0"/>
          <w:i w:val="0"/>
          <w:color w:val="2F5496" w:themeColor="accent1" w:themeShade="BF"/>
        </w:rPr>
        <w:t xml:space="preserve">   </w:t>
      </w:r>
    </w:p>
    <w:p w14:paraId="026A3E6E" w14:textId="66D081FF" w:rsidR="00FF52D7" w:rsidRPr="00B97C81" w:rsidRDefault="008D2487" w:rsidP="009112DF">
      <w:pPr>
        <w:pStyle w:val="Heading2"/>
        <w:ind w:left="0"/>
        <w:rPr>
          <w:rFonts w:ascii="Calibri" w:eastAsiaTheme="majorEastAsia" w:hAnsi="Calibri" w:cs="Calibri"/>
          <w:bCs w:val="0"/>
          <w:i w:val="0"/>
          <w:color w:val="1F3864" w:themeColor="accent1" w:themeShade="80"/>
          <w:sz w:val="32"/>
          <w:szCs w:val="32"/>
        </w:rPr>
      </w:pPr>
      <w:r w:rsidRPr="007C17A7">
        <w:rPr>
          <w:rFonts w:ascii="Calibri" w:hAnsi="Calibri" w:cs="Calibri"/>
          <w:b w:val="0"/>
          <w:bCs w:val="0"/>
          <w:noProof/>
        </w:rPr>
        <mc:AlternateContent>
          <mc:Choice Requires="wps">
            <w:drawing>
              <wp:anchor distT="0" distB="0" distL="114300" distR="114300" simplePos="0" relativeHeight="251659264" behindDoc="0" locked="0" layoutInCell="1" allowOverlap="1" wp14:anchorId="7A473AB3" wp14:editId="2651DD9E">
                <wp:simplePos x="0" y="0"/>
                <wp:positionH relativeFrom="margin">
                  <wp:align>left</wp:align>
                </wp:positionH>
                <wp:positionV relativeFrom="paragraph">
                  <wp:posOffset>227965</wp:posOffset>
                </wp:positionV>
                <wp:extent cx="6105525" cy="669290"/>
                <wp:effectExtent l="0" t="0" r="28575" b="16510"/>
                <wp:wrapNone/>
                <wp:docPr id="12" name="Round Single Corner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05525" cy="669290"/>
                        </a:xfrm>
                        <a:prstGeom prst="round1Rect">
                          <a:avLst>
                            <a:gd name="adj" fmla="val 0"/>
                          </a:avLst>
                        </a:prstGeom>
                        <a:solidFill>
                          <a:srgbClr val="4F81BD"/>
                        </a:solidFill>
                        <a:ln w="25400" cap="flat" cmpd="sng" algn="ctr">
                          <a:solidFill>
                            <a:srgbClr val="4F81BD">
                              <a:shade val="50000"/>
                            </a:srgbClr>
                          </a:solidFill>
                          <a:prstDash val="solid"/>
                        </a:ln>
                        <a:effectLst/>
                      </wps:spPr>
                      <wps:txbx>
                        <w:txbxContent>
                          <w:p w14:paraId="472A0EAB" w14:textId="77777777" w:rsidR="00FF52D7" w:rsidRPr="008D2487" w:rsidRDefault="00EE4395" w:rsidP="008D2487">
                            <w:pPr>
                              <w:jc w:val="center"/>
                              <w:rPr>
                                <w:rFonts w:ascii="Callibri" w:hAnsi="Callibri"/>
                                <w:color w:val="FFFFFF" w:themeColor="background1"/>
                                <w:sz w:val="36"/>
                                <w:szCs w:val="36"/>
                                <w:lang w:val="en-US"/>
                              </w:rPr>
                            </w:pPr>
                            <w:r w:rsidRPr="008D2487">
                              <w:rPr>
                                <w:rFonts w:ascii="Callibri" w:hAnsi="Callibri"/>
                                <w:color w:val="FFFFFF" w:themeColor="background1"/>
                                <w:sz w:val="36"/>
                                <w:szCs w:val="36"/>
                                <w:lang w:val="en-US"/>
                              </w:rPr>
                              <w:t>Cooperative Biological Engagement Program</w:t>
                            </w:r>
                          </w:p>
                          <w:p w14:paraId="33819462" w14:textId="77777777" w:rsidR="00FF52D7" w:rsidRPr="00EE4395" w:rsidRDefault="00EE4395" w:rsidP="00FF52D7">
                            <w:pPr>
                              <w:jc w:val="center"/>
                              <w:rPr>
                                <w:rFonts w:ascii="Callibri" w:hAnsi="Callibri"/>
                                <w:color w:val="FFFFFF" w:themeColor="background1"/>
                                <w:sz w:val="24"/>
                                <w:szCs w:val="24"/>
                                <w:lang w:val="en-US"/>
                              </w:rPr>
                            </w:pPr>
                            <w:r w:rsidRPr="00EE4395">
                              <w:rPr>
                                <w:rFonts w:ascii="Callibri" w:hAnsi="Callibri"/>
                                <w:color w:val="FFFFFF" w:themeColor="background1"/>
                                <w:sz w:val="24"/>
                                <w:szCs w:val="24"/>
                                <w:lang w:val="en-US"/>
                              </w:rPr>
                              <w:t>DTRA – NCDC Collaboration</w:t>
                            </w:r>
                          </w:p>
                          <w:p w14:paraId="0D263A6A" w14:textId="77777777" w:rsidR="00FF52D7" w:rsidRDefault="00FF52D7" w:rsidP="00FF52D7">
                            <w:pPr>
                              <w:spacing w:after="0" w:line="240" w:lineRule="auto"/>
                              <w:ind w:left="72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473AB3" id="Round Single Corner Rectangle 12" o:spid="_x0000_s1026" style="position:absolute;margin-left:0;margin-top:17.95pt;width:480.75pt;height:52.7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6105525,66929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" adj="-11796480,,5400" path="m,l6105525,r,l6105525,669290,,669290,,xe" fillcolor="#4f81bd" strokecolor="#385d8a" strokeweight="2pt">
                <v:stroke joinstyle="miter"/>
                <v:formulas/>
                <v:path arrowok="t" o:connecttype="custom" o:connectlocs="0,0;6105525,0;6105525,0;6105525,669290;0,669290;0,0" o:connectangles="0,0,0,0,0,0" textboxrect="0,0,6105525,669290"/>
                <v:textbox>
                  <w:txbxContent>
                    <w:p w14:paraId="472A0EAB" w14:textId="77777777" w:rsidR="00FF52D7" w:rsidRPr="008D2487" w:rsidRDefault="00EE4395" w:rsidP="008D2487">
                      <w:pPr>
                        <w:jc w:val="center"/>
                        <w:rPr>
                          <w:rFonts w:ascii="Callibri" w:hAnsi="Callibri"/>
                          <w:color w:val="FFFFFF" w:themeColor="background1"/>
                          <w:sz w:val="36"/>
                          <w:szCs w:val="36"/>
                          <w:lang w:val="en-US"/>
                        </w:rPr>
                      </w:pPr>
                      <w:r w:rsidRPr="008D2487">
                        <w:rPr>
                          <w:rFonts w:ascii="Callibri" w:hAnsi="Callibri"/>
                          <w:color w:val="FFFFFF" w:themeColor="background1"/>
                          <w:sz w:val="36"/>
                          <w:szCs w:val="36"/>
                          <w:lang w:val="en-US"/>
                        </w:rPr>
                        <w:t>Cooperative Biological Engagement Program</w:t>
                      </w:r>
                    </w:p>
                    <w:p w14:paraId="33819462" w14:textId="77777777" w:rsidR="00FF52D7" w:rsidRPr="00EE4395" w:rsidRDefault="00EE4395" w:rsidP="00FF52D7">
                      <w:pPr>
                        <w:jc w:val="center"/>
                        <w:rPr>
                          <w:rFonts w:ascii="Callibri" w:hAnsi="Callibri"/>
                          <w:color w:val="FFFFFF" w:themeColor="background1"/>
                          <w:sz w:val="24"/>
                          <w:szCs w:val="24"/>
                          <w:lang w:val="en-US"/>
                        </w:rPr>
                      </w:pPr>
                      <w:r w:rsidRPr="00EE4395">
                        <w:rPr>
                          <w:rFonts w:ascii="Callibri" w:hAnsi="Callibri"/>
                          <w:color w:val="FFFFFF" w:themeColor="background1"/>
                          <w:sz w:val="24"/>
                          <w:szCs w:val="24"/>
                          <w:lang w:val="en-US"/>
                        </w:rPr>
                        <w:t>DTRA – NCDC Collaboration</w:t>
                      </w:r>
                    </w:p>
                    <w:p w14:paraId="0D263A6A" w14:textId="77777777" w:rsidR="00FF52D7" w:rsidRDefault="00FF52D7" w:rsidP="00FF52D7">
                      <w:pPr>
                        <w:spacing w:after="0" w:line="240" w:lineRule="auto"/>
                        <w:ind w:left="720"/>
                        <w:jc w:val="center"/>
                      </w:pPr>
                    </w:p>
                  </w:txbxContent>
                </v:textbox>
                <w10:wrap anchorx="margin"/>
              </v:shape>
            </w:pict>
          </mc:Fallback>
        </mc:AlternateContent>
      </w:r>
      <w:r w:rsidR="009112DF">
        <w:rPr>
          <w:rFonts w:ascii="Calibri" w:eastAsiaTheme="majorEastAsia" w:hAnsi="Calibri" w:cs="Calibri"/>
          <w:bCs w:val="0"/>
          <w:i w:val="0"/>
          <w:color w:val="1F3864" w:themeColor="accent1" w:themeShade="80"/>
          <w:sz w:val="14"/>
          <w:szCs w:val="14"/>
        </w:rPr>
        <w:t xml:space="preserve">                                                                                                                                                                                                                                         </w:t>
      </w:r>
      <w:r w:rsidR="00FF52D7" w:rsidRPr="00B97C81">
        <w:rPr>
          <w:rFonts w:ascii="Calibri" w:eastAsiaTheme="majorEastAsia" w:hAnsi="Calibri" w:cs="Calibri"/>
          <w:bCs w:val="0"/>
          <w:i w:val="0"/>
          <w:color w:val="1F3864" w:themeColor="accent1" w:themeShade="80"/>
          <w:sz w:val="36"/>
          <w:szCs w:val="36"/>
        </w:rPr>
        <w:t>GEORGIA</w:t>
      </w:r>
      <w:r w:rsidR="00FF52D7" w:rsidRPr="00B97C81">
        <w:rPr>
          <w:rFonts w:ascii="Calibri" w:eastAsiaTheme="majorEastAsia" w:hAnsi="Calibri" w:cs="Calibri"/>
          <w:bCs w:val="0"/>
          <w:color w:val="1F3864" w:themeColor="accent1" w:themeShade="80"/>
          <w:sz w:val="32"/>
          <w:szCs w:val="32"/>
        </w:rPr>
        <w:t xml:space="preserve"> </w:t>
      </w:r>
      <w:r w:rsidR="00FF52D7" w:rsidRPr="00B97C81">
        <w:rPr>
          <w:rFonts w:ascii="Calibri" w:eastAsiaTheme="majorEastAsia" w:hAnsi="Calibri" w:cs="Calibri"/>
          <w:bCs w:val="0"/>
          <w:color w:val="1F3864" w:themeColor="accent1" w:themeShade="80"/>
          <w:sz w:val="36"/>
          <w:szCs w:val="36"/>
        </w:rPr>
        <w:t>Brief</w:t>
      </w:r>
    </w:p>
    <w:p w14:paraId="40E9B2E4" w14:textId="77777777" w:rsidR="00131F19" w:rsidRDefault="00131F19" w:rsidP="00886187">
      <w:pPr>
        <w:tabs>
          <w:tab w:val="left" w:pos="5245"/>
        </w:tabs>
        <w:ind w:left="-142" w:firstLine="142"/>
        <w:jc w:val="center"/>
        <w:rPr>
          <w:rFonts w:ascii="Callibri" w:hAnsi="Callibri"/>
          <w:sz w:val="24"/>
          <w:szCs w:val="24"/>
          <w:lang w:val="en-US"/>
        </w:rPr>
      </w:pPr>
    </w:p>
    <w:p w14:paraId="60809FC2" w14:textId="77777777" w:rsidR="00FF52D7" w:rsidRDefault="00FF52D7" w:rsidP="00131F19">
      <w:pPr>
        <w:jc w:val="center"/>
        <w:rPr>
          <w:rFonts w:ascii="Callibri" w:hAnsi="Callibri"/>
          <w:color w:val="002060"/>
          <w:sz w:val="36"/>
          <w:szCs w:val="36"/>
          <w:lang w:val="en-US"/>
        </w:rPr>
      </w:pPr>
    </w:p>
    <w:p w14:paraId="417DB888" w14:textId="77777777" w:rsidR="008D2487" w:rsidRDefault="008D2487" w:rsidP="00EE4395">
      <w:pPr>
        <w:pStyle w:val="NormalWeb"/>
        <w:jc w:val="both"/>
        <w:rPr>
          <w:rFonts w:ascii="Calibri" w:hAnsi="Calibri"/>
          <w:color w:val="000000"/>
          <w:lang w:val="en-US"/>
        </w:rPr>
      </w:pPr>
    </w:p>
    <w:p w14:paraId="0F1D1832" w14:textId="1710FDA1" w:rsidR="00EE4395" w:rsidRPr="009B3848" w:rsidRDefault="008D2487" w:rsidP="00EE4395">
      <w:pPr>
        <w:pStyle w:val="NormalWeb"/>
        <w:jc w:val="both"/>
        <w:rPr>
          <w:rFonts w:ascii="Calibri" w:hAnsi="Calibri"/>
          <w:color w:val="000000"/>
          <w:sz w:val="23"/>
          <w:szCs w:val="23"/>
          <w:lang w:val="en-US"/>
        </w:rPr>
      </w:pPr>
      <w:r w:rsidRPr="009B3848">
        <w:rPr>
          <w:rFonts w:ascii="Calibri" w:hAnsi="Calibri"/>
          <w:noProof/>
          <w:color w:val="000000"/>
          <w:sz w:val="23"/>
          <w:szCs w:val="23"/>
          <w:lang w:val="en-US" w:eastAsia="en-US"/>
        </w:rPr>
        <w:drawing>
          <wp:anchor distT="0" distB="0" distL="114300" distR="114300" simplePos="0" relativeHeight="251660288" behindDoc="1" locked="0" layoutInCell="1" allowOverlap="1" wp14:anchorId="40BD4D40" wp14:editId="252252DF">
            <wp:simplePos x="0" y="0"/>
            <wp:positionH relativeFrom="margin">
              <wp:posOffset>4949190</wp:posOffset>
            </wp:positionH>
            <wp:positionV relativeFrom="paragraph">
              <wp:posOffset>6985</wp:posOffset>
            </wp:positionV>
            <wp:extent cx="1071245" cy="1724025"/>
            <wp:effectExtent l="0" t="0" r="0" b="9525"/>
            <wp:wrapTight wrapText="bothSides">
              <wp:wrapPolygon edited="0">
                <wp:start x="0" y="0"/>
                <wp:lineTo x="0" y="21481"/>
                <wp:lineTo x="21126" y="21481"/>
                <wp:lineTo x="2112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9.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71245" cy="1724025"/>
                    </a:xfrm>
                    <a:prstGeom prst="rect">
                      <a:avLst/>
                    </a:prstGeom>
                  </pic:spPr>
                </pic:pic>
              </a:graphicData>
            </a:graphic>
            <wp14:sizeRelH relativeFrom="margin">
              <wp14:pctWidth>0</wp14:pctWidth>
            </wp14:sizeRelH>
            <wp14:sizeRelV relativeFrom="margin">
              <wp14:pctHeight>0</wp14:pctHeight>
            </wp14:sizeRelV>
          </wp:anchor>
        </w:drawing>
      </w:r>
      <w:r w:rsidR="008246C7" w:rsidRPr="009B3848">
        <w:rPr>
          <w:rFonts w:ascii="Calibri" w:hAnsi="Calibri"/>
          <w:color w:val="000000"/>
          <w:sz w:val="23"/>
          <w:szCs w:val="23"/>
          <w:lang w:val="en-US"/>
        </w:rPr>
        <w:t>The U.S. Department of Defense (DoD)</w:t>
      </w:r>
      <w:r w:rsidR="00EE4395" w:rsidRPr="009B3848">
        <w:rPr>
          <w:rFonts w:ascii="Calibri" w:hAnsi="Calibri"/>
          <w:color w:val="000000"/>
          <w:sz w:val="23"/>
          <w:szCs w:val="23"/>
          <w:lang w:val="en-US"/>
        </w:rPr>
        <w:t xml:space="preserve"> established the biological threats reduction programs </w:t>
      </w:r>
      <w:r w:rsidR="008B3D36" w:rsidRPr="009B3848">
        <w:rPr>
          <w:rFonts w:ascii="Calibri" w:hAnsi="Calibri"/>
          <w:color w:val="000000"/>
          <w:sz w:val="23"/>
          <w:szCs w:val="23"/>
          <w:lang w:val="en-US"/>
        </w:rPr>
        <w:t>t</w:t>
      </w:r>
      <w:r w:rsidR="00EE4395" w:rsidRPr="009B3848">
        <w:rPr>
          <w:rFonts w:ascii="Calibri" w:hAnsi="Calibri"/>
          <w:color w:val="000000"/>
          <w:sz w:val="23"/>
          <w:szCs w:val="23"/>
          <w:lang w:val="en-US"/>
        </w:rPr>
        <w:t xml:space="preserve">o operate with post-Soviet countries to prevent the proliferation of expertise, </w:t>
      </w:r>
      <w:r w:rsidR="00596995" w:rsidRPr="009B3848">
        <w:rPr>
          <w:rFonts w:ascii="Calibri" w:hAnsi="Calibri"/>
          <w:color w:val="000000"/>
          <w:sz w:val="23"/>
          <w:szCs w:val="23"/>
          <w:lang w:val="en-US"/>
        </w:rPr>
        <w:t>dangerous pathogens a</w:t>
      </w:r>
      <w:r w:rsidR="00EE4395" w:rsidRPr="009B3848">
        <w:rPr>
          <w:rFonts w:ascii="Calibri" w:hAnsi="Calibri"/>
          <w:color w:val="000000"/>
          <w:sz w:val="23"/>
          <w:szCs w:val="23"/>
          <w:lang w:val="en-US"/>
        </w:rPr>
        <w:t xml:space="preserve">nd technologies that could contribute to the development of biological weapons. One of the programs funded by DoD was created in </w:t>
      </w:r>
      <w:r w:rsidR="00EE4395" w:rsidRPr="009B3848">
        <w:rPr>
          <w:rFonts w:ascii="Calibri" w:hAnsi="Calibri"/>
          <w:b/>
          <w:color w:val="000000"/>
          <w:sz w:val="23"/>
          <w:szCs w:val="23"/>
          <w:lang w:val="en-US"/>
        </w:rPr>
        <w:t>1991</w:t>
      </w:r>
      <w:r w:rsidR="00EE4395" w:rsidRPr="009B3848">
        <w:rPr>
          <w:rFonts w:ascii="Calibri" w:hAnsi="Calibri"/>
          <w:color w:val="000000"/>
          <w:sz w:val="23"/>
          <w:szCs w:val="23"/>
          <w:lang w:val="en-US"/>
        </w:rPr>
        <w:t xml:space="preserve"> under the Nunn-Lugar Act (authored by Senators Richard Lugar and Sam Nunn) - Cooperative Biological Engagement Program </w:t>
      </w:r>
      <w:r w:rsidR="00EE4395" w:rsidRPr="009B3848">
        <w:rPr>
          <w:rFonts w:ascii="Calibri" w:hAnsi="Calibri"/>
          <w:b/>
          <w:color w:val="000000"/>
          <w:sz w:val="23"/>
          <w:szCs w:val="23"/>
          <w:lang w:val="en-US"/>
        </w:rPr>
        <w:t>(CBEP)</w:t>
      </w:r>
      <w:r w:rsidR="00EE4395" w:rsidRPr="009B3848">
        <w:rPr>
          <w:rFonts w:ascii="Calibri" w:hAnsi="Calibri"/>
          <w:color w:val="000000"/>
          <w:sz w:val="23"/>
          <w:szCs w:val="23"/>
          <w:lang w:val="en-US"/>
        </w:rPr>
        <w:t xml:space="preserve"> directly addressing to global health security threats by working with post-Soviet countries to improve biosafety, biosecurity, and disease surveillance</w:t>
      </w:r>
      <w:r w:rsidR="008B3D36" w:rsidRPr="009B3848">
        <w:rPr>
          <w:rFonts w:ascii="Calibri" w:hAnsi="Calibri"/>
          <w:color w:val="000000"/>
          <w:sz w:val="23"/>
          <w:szCs w:val="23"/>
          <w:lang w:val="en-US"/>
        </w:rPr>
        <w:t>.</w:t>
      </w:r>
    </w:p>
    <w:p w14:paraId="6A35E105" w14:textId="77777777" w:rsidR="00EE4395" w:rsidRPr="009B3848" w:rsidRDefault="00EE4395" w:rsidP="00EE4395">
      <w:pPr>
        <w:pStyle w:val="NormalWeb"/>
        <w:jc w:val="both"/>
        <w:rPr>
          <w:rFonts w:ascii="Calibri" w:hAnsi="Calibri"/>
          <w:color w:val="000000"/>
          <w:sz w:val="23"/>
          <w:szCs w:val="23"/>
          <w:lang w:val="en-US"/>
        </w:rPr>
      </w:pPr>
    </w:p>
    <w:p w14:paraId="30067920" w14:textId="77777777" w:rsidR="00EE4395" w:rsidRPr="009B3848" w:rsidRDefault="00EE4395" w:rsidP="00EE4395">
      <w:pPr>
        <w:shd w:val="clear" w:color="auto" w:fill="FFFFFF"/>
        <w:spacing w:after="0" w:line="336" w:lineRule="atLeast"/>
        <w:jc w:val="both"/>
        <w:textAlignment w:val="baseline"/>
        <w:rPr>
          <w:rFonts w:ascii="Calibri" w:eastAsia="Times New Roman" w:hAnsi="Calibri" w:cs="Times New Roman"/>
          <w:sz w:val="23"/>
          <w:szCs w:val="23"/>
          <w:bdr w:val="none" w:sz="0" w:space="0" w:color="auto" w:frame="1"/>
          <w:lang w:eastAsia="ka-GE"/>
        </w:rPr>
      </w:pPr>
      <w:r w:rsidRPr="009B3848">
        <w:rPr>
          <w:rFonts w:ascii="Calibri" w:eastAsia="Times New Roman" w:hAnsi="Calibri" w:cs="Times New Roman"/>
          <w:sz w:val="23"/>
          <w:szCs w:val="23"/>
          <w:bdr w:val="none" w:sz="0" w:space="0" w:color="auto" w:frame="1"/>
          <w:lang w:eastAsia="ka-GE"/>
        </w:rPr>
        <w:t>Over the years, the program has made significant contributions to international and homeland security. Assistance to partners across the former Soviet Union has been provided to:</w:t>
      </w:r>
    </w:p>
    <w:p w14:paraId="03618138" w14:textId="77777777" w:rsidR="00EE4395" w:rsidRPr="009B3848" w:rsidRDefault="00EE4395" w:rsidP="00EE4395">
      <w:pPr>
        <w:shd w:val="clear" w:color="auto" w:fill="FFFFFF"/>
        <w:spacing w:after="0" w:line="336" w:lineRule="atLeast"/>
        <w:jc w:val="both"/>
        <w:textAlignment w:val="baseline"/>
        <w:rPr>
          <w:rFonts w:ascii="Calibri" w:eastAsia="Times New Roman" w:hAnsi="Calibri" w:cs="Times New Roman"/>
          <w:b/>
          <w:sz w:val="23"/>
          <w:szCs w:val="23"/>
          <w:u w:val="single"/>
          <w:bdr w:val="none" w:sz="0" w:space="0" w:color="auto" w:frame="1"/>
          <w:lang w:eastAsia="ka-GE"/>
        </w:rPr>
      </w:pPr>
      <w:r w:rsidRPr="009B3848">
        <w:rPr>
          <w:rFonts w:ascii="Calibri" w:eastAsia="Times New Roman" w:hAnsi="Calibri" w:cs="Times New Roman"/>
          <w:sz w:val="23"/>
          <w:szCs w:val="23"/>
          <w:bdr w:val="none" w:sz="0" w:space="0" w:color="auto" w:frame="1"/>
          <w:lang w:eastAsia="ka-GE"/>
        </w:rPr>
        <w:t>•</w:t>
      </w:r>
      <w:r w:rsidRPr="009B3848">
        <w:rPr>
          <w:rFonts w:ascii="Calibri" w:eastAsia="Times New Roman" w:hAnsi="Calibri" w:cs="Times New Roman"/>
          <w:sz w:val="23"/>
          <w:szCs w:val="23"/>
          <w:bdr w:val="none" w:sz="0" w:space="0" w:color="auto" w:frame="1"/>
          <w:lang w:eastAsia="ka-GE"/>
        </w:rPr>
        <w:tab/>
      </w:r>
      <w:r w:rsidRPr="009B3848">
        <w:rPr>
          <w:rFonts w:ascii="Calibri" w:eastAsia="Times New Roman" w:hAnsi="Calibri" w:cs="Times New Roman"/>
          <w:b/>
          <w:sz w:val="23"/>
          <w:szCs w:val="23"/>
          <w:u w:val="single"/>
          <w:bdr w:val="none" w:sz="0" w:space="0" w:color="auto" w:frame="1"/>
          <w:lang w:eastAsia="ka-GE"/>
        </w:rPr>
        <w:t>Consolidate and secure dangerous pathogen collections into central reference labs or repositories;</w:t>
      </w:r>
    </w:p>
    <w:p w14:paraId="4EA6E47C" w14:textId="77777777" w:rsidR="00EE4395" w:rsidRPr="009B3848" w:rsidRDefault="00EE4395" w:rsidP="00EE4395">
      <w:pPr>
        <w:shd w:val="clear" w:color="auto" w:fill="FFFFFF"/>
        <w:spacing w:after="0" w:line="336" w:lineRule="atLeast"/>
        <w:jc w:val="both"/>
        <w:textAlignment w:val="baseline"/>
        <w:rPr>
          <w:rFonts w:ascii="Calibri" w:eastAsia="Times New Roman" w:hAnsi="Calibri" w:cs="Times New Roman"/>
          <w:b/>
          <w:sz w:val="23"/>
          <w:szCs w:val="23"/>
          <w:u w:val="single"/>
          <w:bdr w:val="none" w:sz="0" w:space="0" w:color="auto" w:frame="1"/>
          <w:lang w:eastAsia="ka-GE"/>
        </w:rPr>
      </w:pPr>
      <w:r w:rsidRPr="009B3848">
        <w:rPr>
          <w:rFonts w:ascii="Calibri" w:eastAsia="Times New Roman" w:hAnsi="Calibri" w:cs="Times New Roman"/>
          <w:sz w:val="23"/>
          <w:szCs w:val="23"/>
          <w:bdr w:val="none" w:sz="0" w:space="0" w:color="auto" w:frame="1"/>
          <w:lang w:eastAsia="ka-GE"/>
        </w:rPr>
        <w:t>•</w:t>
      </w:r>
      <w:r w:rsidRPr="009B3848">
        <w:rPr>
          <w:rFonts w:ascii="Calibri" w:eastAsia="Times New Roman" w:hAnsi="Calibri" w:cs="Times New Roman"/>
          <w:sz w:val="23"/>
          <w:szCs w:val="23"/>
          <w:bdr w:val="none" w:sz="0" w:space="0" w:color="auto" w:frame="1"/>
          <w:lang w:eastAsia="ka-GE"/>
        </w:rPr>
        <w:tab/>
      </w:r>
      <w:r w:rsidRPr="009B3848">
        <w:rPr>
          <w:rFonts w:ascii="Calibri" w:eastAsia="Times New Roman" w:hAnsi="Calibri" w:cs="Times New Roman"/>
          <w:b/>
          <w:sz w:val="23"/>
          <w:szCs w:val="23"/>
          <w:u w:val="single"/>
          <w:bdr w:val="none" w:sz="0" w:space="0" w:color="auto" w:frame="1"/>
          <w:lang w:eastAsia="ka-GE"/>
        </w:rPr>
        <w:t>Improve the safety and security of biological facilities;</w:t>
      </w:r>
    </w:p>
    <w:p w14:paraId="73984A27" w14:textId="6D747A9A" w:rsidR="00EE4395" w:rsidRPr="009B3848" w:rsidRDefault="00EE4395" w:rsidP="00EE4395">
      <w:pPr>
        <w:shd w:val="clear" w:color="auto" w:fill="FFFFFF"/>
        <w:spacing w:after="0" w:line="336" w:lineRule="atLeast"/>
        <w:jc w:val="both"/>
        <w:textAlignment w:val="baseline"/>
        <w:rPr>
          <w:rFonts w:ascii="Calibri" w:eastAsia="Times New Roman" w:hAnsi="Calibri" w:cs="Times New Roman"/>
          <w:sz w:val="23"/>
          <w:szCs w:val="23"/>
          <w:bdr w:val="none" w:sz="0" w:space="0" w:color="auto" w:frame="1"/>
          <w:lang w:eastAsia="ka-GE"/>
        </w:rPr>
      </w:pPr>
      <w:r w:rsidRPr="009B3848">
        <w:rPr>
          <w:rFonts w:ascii="Calibri" w:eastAsia="Times New Roman" w:hAnsi="Calibri" w:cs="Times New Roman"/>
          <w:sz w:val="23"/>
          <w:szCs w:val="23"/>
          <w:bdr w:val="none" w:sz="0" w:space="0" w:color="auto" w:frame="1"/>
          <w:lang w:eastAsia="ka-GE"/>
        </w:rPr>
        <w:t>•</w:t>
      </w:r>
      <w:r w:rsidRPr="009B3848">
        <w:rPr>
          <w:rFonts w:ascii="Calibri" w:eastAsia="Times New Roman" w:hAnsi="Calibri" w:cs="Times New Roman"/>
          <w:sz w:val="23"/>
          <w:szCs w:val="23"/>
          <w:bdr w:val="none" w:sz="0" w:space="0" w:color="auto" w:frame="1"/>
          <w:lang w:eastAsia="ka-GE"/>
        </w:rPr>
        <w:tab/>
      </w:r>
      <w:r w:rsidRPr="009B3848">
        <w:rPr>
          <w:rFonts w:ascii="Calibri" w:eastAsia="Times New Roman" w:hAnsi="Calibri" w:cs="Times New Roman"/>
          <w:b/>
          <w:sz w:val="23"/>
          <w:szCs w:val="23"/>
          <w:u w:val="single"/>
          <w:bdr w:val="none" w:sz="0" w:space="0" w:color="auto" w:frame="1"/>
          <w:lang w:eastAsia="ka-GE"/>
        </w:rPr>
        <w:t xml:space="preserve">Enhance partner </w:t>
      </w:r>
      <w:r w:rsidRPr="009B3848">
        <w:rPr>
          <w:rFonts w:ascii="Calibri" w:eastAsia="Times New Roman" w:hAnsi="Calibri" w:cs="Times New Roman"/>
          <w:b/>
          <w:sz w:val="23"/>
          <w:szCs w:val="23"/>
          <w:u w:val="single"/>
          <w:bdr w:val="none" w:sz="0" w:space="0" w:color="auto" w:frame="1"/>
          <w:lang w:val="en-US" w:eastAsia="ka-GE"/>
        </w:rPr>
        <w:t>countries’</w:t>
      </w:r>
      <w:r w:rsidRPr="009B3848">
        <w:rPr>
          <w:rFonts w:ascii="Calibri" w:eastAsia="Times New Roman" w:hAnsi="Calibri" w:cs="Times New Roman"/>
          <w:b/>
          <w:sz w:val="23"/>
          <w:szCs w:val="23"/>
          <w:u w:val="single"/>
          <w:bdr w:val="none" w:sz="0" w:space="0" w:color="auto" w:frame="1"/>
          <w:lang w:eastAsia="ka-GE"/>
        </w:rPr>
        <w:t xml:space="preserve"> capabilities to </w:t>
      </w:r>
      <w:r w:rsidR="00596995" w:rsidRPr="009B3848">
        <w:rPr>
          <w:rFonts w:ascii="Calibri" w:eastAsia="Times New Roman" w:hAnsi="Calibri" w:cs="Times New Roman"/>
          <w:b/>
          <w:sz w:val="23"/>
          <w:szCs w:val="23"/>
          <w:u w:val="single"/>
          <w:bdr w:val="none" w:sz="0" w:space="0" w:color="auto" w:frame="1"/>
          <w:lang w:val="en-US" w:eastAsia="ka-GE"/>
        </w:rPr>
        <w:t xml:space="preserve">timely </w:t>
      </w:r>
      <w:r w:rsidRPr="009B3848">
        <w:rPr>
          <w:rFonts w:ascii="Calibri" w:eastAsia="Times New Roman" w:hAnsi="Calibri" w:cs="Times New Roman"/>
          <w:b/>
          <w:sz w:val="23"/>
          <w:szCs w:val="23"/>
          <w:u w:val="single"/>
          <w:bdr w:val="none" w:sz="0" w:space="0" w:color="auto" w:frame="1"/>
          <w:lang w:eastAsia="ka-GE"/>
        </w:rPr>
        <w:t>detect, and report bio-terror attacks and potential</w:t>
      </w:r>
      <w:r w:rsidR="008E4006" w:rsidRPr="009B3848">
        <w:rPr>
          <w:rFonts w:ascii="Calibri" w:eastAsia="Times New Roman" w:hAnsi="Calibri" w:cs="Times New Roman"/>
          <w:b/>
          <w:sz w:val="23"/>
          <w:szCs w:val="23"/>
          <w:u w:val="single"/>
          <w:bdr w:val="none" w:sz="0" w:space="0" w:color="auto" w:frame="1"/>
          <w:lang w:val="en-GB" w:eastAsia="ka-GE"/>
        </w:rPr>
        <w:t xml:space="preserve"> epidemics</w:t>
      </w:r>
      <w:r w:rsidRPr="009B3848">
        <w:rPr>
          <w:rFonts w:ascii="Calibri" w:eastAsia="Times New Roman" w:hAnsi="Calibri" w:cs="Times New Roman"/>
          <w:b/>
          <w:sz w:val="23"/>
          <w:szCs w:val="23"/>
          <w:u w:val="single"/>
          <w:bdr w:val="none" w:sz="0" w:space="0" w:color="auto" w:frame="1"/>
          <w:lang w:eastAsia="ka-GE"/>
        </w:rPr>
        <w:t xml:space="preserve"> ;</w:t>
      </w:r>
    </w:p>
    <w:p w14:paraId="3461A398" w14:textId="77777777" w:rsidR="00EE4395" w:rsidRPr="009B3848" w:rsidRDefault="00EE4395" w:rsidP="00EE4395">
      <w:pPr>
        <w:shd w:val="clear" w:color="auto" w:fill="FFFFFF"/>
        <w:spacing w:after="0" w:line="336" w:lineRule="atLeast"/>
        <w:jc w:val="both"/>
        <w:textAlignment w:val="baseline"/>
        <w:rPr>
          <w:rFonts w:ascii="Calibri" w:eastAsia="Times New Roman" w:hAnsi="Calibri" w:cs="Times New Roman"/>
          <w:b/>
          <w:sz w:val="23"/>
          <w:szCs w:val="23"/>
          <w:u w:val="single"/>
          <w:bdr w:val="none" w:sz="0" w:space="0" w:color="auto" w:frame="1"/>
          <w:lang w:eastAsia="ka-GE"/>
        </w:rPr>
      </w:pPr>
      <w:r w:rsidRPr="009B3848">
        <w:rPr>
          <w:rFonts w:ascii="Calibri" w:eastAsia="Times New Roman" w:hAnsi="Calibri" w:cs="Times New Roman"/>
          <w:sz w:val="23"/>
          <w:szCs w:val="23"/>
          <w:bdr w:val="none" w:sz="0" w:space="0" w:color="auto" w:frame="1"/>
          <w:lang w:eastAsia="ka-GE"/>
        </w:rPr>
        <w:t>•</w:t>
      </w:r>
      <w:r w:rsidRPr="009B3848">
        <w:rPr>
          <w:rFonts w:ascii="Calibri" w:eastAsia="Times New Roman" w:hAnsi="Calibri" w:cs="Times New Roman"/>
          <w:sz w:val="23"/>
          <w:szCs w:val="23"/>
          <w:bdr w:val="none" w:sz="0" w:space="0" w:color="auto" w:frame="1"/>
          <w:lang w:eastAsia="ka-GE"/>
        </w:rPr>
        <w:tab/>
      </w:r>
      <w:r w:rsidRPr="009B3848">
        <w:rPr>
          <w:rFonts w:ascii="Calibri" w:eastAsia="Times New Roman" w:hAnsi="Calibri" w:cs="Times New Roman"/>
          <w:b/>
          <w:sz w:val="23"/>
          <w:szCs w:val="23"/>
          <w:u w:val="single"/>
          <w:bdr w:val="none" w:sz="0" w:space="0" w:color="auto" w:frame="1"/>
          <w:lang w:eastAsia="ka-GE"/>
        </w:rPr>
        <w:t>Engage scientists with biological weapon-related expertise in research that supports force protection, medical countermeasures, diagnostics, and modeling.</w:t>
      </w:r>
    </w:p>
    <w:p w14:paraId="6C751AC5" w14:textId="77777777" w:rsidR="005F2C3D" w:rsidRPr="009B3848" w:rsidRDefault="005F2C3D" w:rsidP="00EE4395">
      <w:pPr>
        <w:spacing w:after="120" w:line="276" w:lineRule="auto"/>
        <w:jc w:val="both"/>
        <w:rPr>
          <w:color w:val="002060"/>
          <w:sz w:val="10"/>
          <w:szCs w:val="10"/>
        </w:rPr>
      </w:pPr>
    </w:p>
    <w:p w14:paraId="116E2593" w14:textId="77777777" w:rsidR="008246C7" w:rsidRPr="009B3848" w:rsidRDefault="00EE4395" w:rsidP="00EE4395">
      <w:pPr>
        <w:spacing w:after="120" w:line="276" w:lineRule="auto"/>
        <w:jc w:val="both"/>
        <w:rPr>
          <w:sz w:val="23"/>
          <w:szCs w:val="23"/>
        </w:rPr>
      </w:pPr>
      <w:r w:rsidRPr="009B3848">
        <w:rPr>
          <w:rFonts w:ascii="Calibri" w:hAnsi="Calibri"/>
          <w:sz w:val="23"/>
          <w:szCs w:val="23"/>
        </w:rPr>
        <w:t xml:space="preserve">The Defense Threat Reduction Agency (DTRA) is under the </w:t>
      </w:r>
      <w:r w:rsidR="002E5AC3" w:rsidRPr="009B3848">
        <w:rPr>
          <w:rFonts w:ascii="Calibri" w:hAnsi="Calibri"/>
          <w:sz w:val="23"/>
          <w:szCs w:val="23"/>
        </w:rPr>
        <w:t>DoD</w:t>
      </w:r>
      <w:r w:rsidRPr="009B3848">
        <w:rPr>
          <w:rFonts w:ascii="Calibri" w:hAnsi="Calibri"/>
          <w:sz w:val="23"/>
          <w:szCs w:val="23"/>
        </w:rPr>
        <w:t xml:space="preserve"> and is the official Combat Support Agency for countering weapons of mass destruction (chemical, biological, radiological, nuclear and high-explosives). DTRA's main functions are threat reduction, threat control, combat support, and technology development. </w:t>
      </w:r>
    </w:p>
    <w:p w14:paraId="49A443B4" w14:textId="77777777" w:rsidR="00EE4395" w:rsidRPr="009B3848" w:rsidRDefault="008246C7" w:rsidP="00EE4395">
      <w:pPr>
        <w:spacing w:after="120" w:line="276" w:lineRule="auto"/>
        <w:jc w:val="both"/>
        <w:rPr>
          <w:rFonts w:ascii="Calibri" w:hAnsi="Calibri"/>
          <w:sz w:val="23"/>
          <w:szCs w:val="23"/>
        </w:rPr>
      </w:pPr>
      <w:r w:rsidRPr="009B3848">
        <w:rPr>
          <w:rFonts w:ascii="Calibri" w:hAnsi="Calibri"/>
          <w:sz w:val="23"/>
          <w:szCs w:val="23"/>
        </w:rPr>
        <w:t>In Georgia DTRA supports several U.S. Embassy objectives such as Euro-Atlantic Integration, International Cooperation, and Peace and Security measures.  In terms of development of bio safety and security and promotion of public health in the Region; ensuring improvement of rapidly detect and report dangerous infections, enhance scientific potential in bio-medicine, and establish international research partnerships,  DTRA,  through the Cooperative Biological Engagement Program (CBEP) actively cooperates with Georgian governmental bodies, including the Ministry of Agriculture (Laboratory of Ministry of Agriculture; National Food Agency) and the Ministry of Labour, Health and Social Affairs (MoLHSA) and the leading Public Health Institution - National Center for Disease Control and Public Health (NCDC).</w:t>
      </w:r>
    </w:p>
    <w:p w14:paraId="3DC63F49" w14:textId="77777777" w:rsidR="00EE4395" w:rsidRPr="009B3848" w:rsidRDefault="00EE4395" w:rsidP="00EE4395">
      <w:pPr>
        <w:spacing w:after="120" w:line="276" w:lineRule="auto"/>
        <w:jc w:val="both"/>
        <w:rPr>
          <w:rFonts w:ascii="Calibri" w:hAnsi="Calibri"/>
          <w:sz w:val="23"/>
          <w:szCs w:val="23"/>
        </w:rPr>
      </w:pPr>
      <w:r w:rsidRPr="009B3848">
        <w:rPr>
          <w:rFonts w:ascii="Calibri" w:hAnsi="Calibri"/>
          <w:sz w:val="23"/>
          <w:szCs w:val="23"/>
        </w:rPr>
        <w:t xml:space="preserve">In 90’es of the last century and in the framework of the DTRA and the Nunn-Lugar CTR program, </w:t>
      </w:r>
      <w:bookmarkStart w:id="0" w:name="_GoBack"/>
      <w:r w:rsidRPr="009B3848">
        <w:rPr>
          <w:rFonts w:ascii="Calibri" w:hAnsi="Calibri"/>
          <w:sz w:val="23"/>
          <w:szCs w:val="23"/>
        </w:rPr>
        <w:t xml:space="preserve">partnership with Georgian Government was established. </w:t>
      </w:r>
    </w:p>
    <w:bookmarkEnd w:id="0"/>
    <w:p w14:paraId="7976A6C3" w14:textId="5524B993" w:rsidR="00EE4395" w:rsidRPr="009B3848" w:rsidRDefault="00EE4395" w:rsidP="00EE4395">
      <w:pPr>
        <w:spacing w:after="120" w:line="276" w:lineRule="auto"/>
        <w:jc w:val="both"/>
        <w:rPr>
          <w:sz w:val="23"/>
          <w:szCs w:val="23"/>
        </w:rPr>
      </w:pPr>
      <w:r w:rsidRPr="009B3848">
        <w:rPr>
          <w:rFonts w:ascii="Calibri" w:hAnsi="Calibri"/>
          <w:sz w:val="23"/>
          <w:szCs w:val="23"/>
        </w:rPr>
        <w:t xml:space="preserve">In </w:t>
      </w:r>
      <w:r w:rsidRPr="009B3848">
        <w:rPr>
          <w:rFonts w:ascii="Calibri" w:hAnsi="Calibri"/>
          <w:b/>
          <w:sz w:val="23"/>
          <w:szCs w:val="23"/>
        </w:rPr>
        <w:t>1997</w:t>
      </w:r>
      <w:r w:rsidRPr="009B3848">
        <w:rPr>
          <w:rFonts w:ascii="Calibri" w:hAnsi="Calibri"/>
          <w:sz w:val="23"/>
          <w:szCs w:val="23"/>
        </w:rPr>
        <w:t xml:space="preserve">, the “Agreement between the United States of America and Georgia Concerning Cooperation in the Area of the Prevention of Proliferation of Weapons of Mass Destruction, and the Promotion of Defense and Military Relations” was signed, defining areas of cooperation, including prevention of </w:t>
      </w:r>
      <w:r w:rsidRPr="009B3848">
        <w:rPr>
          <w:rFonts w:ascii="Calibri" w:hAnsi="Calibri"/>
          <w:sz w:val="23"/>
          <w:szCs w:val="23"/>
        </w:rPr>
        <w:lastRenderedPageBreak/>
        <w:t xml:space="preserve">proliferation of nuclear, biological and chemical weapons and related materials. In </w:t>
      </w:r>
      <w:r w:rsidRPr="009B3848">
        <w:rPr>
          <w:rFonts w:ascii="Calibri" w:hAnsi="Calibri"/>
          <w:b/>
          <w:sz w:val="23"/>
          <w:szCs w:val="23"/>
        </w:rPr>
        <w:t>2002</w:t>
      </w:r>
      <w:r w:rsidRPr="009B3848">
        <w:rPr>
          <w:rFonts w:ascii="Calibri" w:hAnsi="Calibri"/>
          <w:sz w:val="23"/>
          <w:szCs w:val="23"/>
        </w:rPr>
        <w:t xml:space="preserve"> “Agreement between the Department of Defense of the USA and Ministry of Defense of Georgia Concerning Cooperation in the Area of Prevention of Proliferation of technology, Pathogens and Expertise Related to the Development of Biological Weapons” was signed.</w:t>
      </w:r>
    </w:p>
    <w:p w14:paraId="57E87F79" w14:textId="77777777" w:rsidR="00DA6FD8" w:rsidRPr="009B3848" w:rsidRDefault="008D2487" w:rsidP="00DA6FD8">
      <w:pPr>
        <w:spacing w:after="120" w:line="276" w:lineRule="auto"/>
        <w:jc w:val="both"/>
        <w:rPr>
          <w:rFonts w:ascii="Calibri" w:hAnsi="Calibri"/>
          <w:sz w:val="23"/>
          <w:szCs w:val="23"/>
        </w:rPr>
      </w:pPr>
      <w:r w:rsidRPr="009B3848">
        <w:rPr>
          <w:noProof/>
          <w:sz w:val="23"/>
          <w:szCs w:val="23"/>
          <w:lang w:val="en-US"/>
        </w:rPr>
        <w:drawing>
          <wp:anchor distT="0" distB="0" distL="114300" distR="114300" simplePos="0" relativeHeight="251661312" behindDoc="1" locked="0" layoutInCell="1" allowOverlap="1" wp14:anchorId="4D2D8BEB" wp14:editId="675DA1F7">
            <wp:simplePos x="0" y="0"/>
            <wp:positionH relativeFrom="margin">
              <wp:posOffset>0</wp:posOffset>
            </wp:positionH>
            <wp:positionV relativeFrom="paragraph">
              <wp:posOffset>60325</wp:posOffset>
            </wp:positionV>
            <wp:extent cx="1533525" cy="1149350"/>
            <wp:effectExtent l="0" t="0" r="9525" b="0"/>
            <wp:wrapTight wrapText="bothSides">
              <wp:wrapPolygon edited="0">
                <wp:start x="0" y="0"/>
                <wp:lineTo x="0" y="21123"/>
                <wp:lineTo x="21466" y="21123"/>
                <wp:lineTo x="21466"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0.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33525" cy="1149350"/>
                    </a:xfrm>
                    <a:prstGeom prst="rect">
                      <a:avLst/>
                    </a:prstGeom>
                  </pic:spPr>
                </pic:pic>
              </a:graphicData>
            </a:graphic>
            <wp14:sizeRelH relativeFrom="margin">
              <wp14:pctWidth>0</wp14:pctWidth>
            </wp14:sizeRelH>
            <wp14:sizeRelV relativeFrom="margin">
              <wp14:pctHeight>0</wp14:pctHeight>
            </wp14:sizeRelV>
          </wp:anchor>
        </w:drawing>
      </w:r>
      <w:r w:rsidRPr="009B3848">
        <w:rPr>
          <w:noProof/>
          <w:sz w:val="23"/>
          <w:szCs w:val="23"/>
          <w:lang w:val="en-US"/>
        </w:rPr>
        <w:drawing>
          <wp:anchor distT="0" distB="0" distL="114300" distR="114300" simplePos="0" relativeHeight="251662336" behindDoc="1" locked="0" layoutInCell="1" allowOverlap="1" wp14:anchorId="0E1B7AA4" wp14:editId="4F3CAD5C">
            <wp:simplePos x="0" y="0"/>
            <wp:positionH relativeFrom="column">
              <wp:posOffset>1634490</wp:posOffset>
            </wp:positionH>
            <wp:positionV relativeFrom="paragraph">
              <wp:posOffset>35560</wp:posOffset>
            </wp:positionV>
            <wp:extent cx="1571625" cy="1223645"/>
            <wp:effectExtent l="0" t="0" r="9525" b="0"/>
            <wp:wrapTight wrapText="bothSides">
              <wp:wrapPolygon edited="0">
                <wp:start x="0" y="0"/>
                <wp:lineTo x="0" y="21185"/>
                <wp:lineTo x="21469" y="21185"/>
                <wp:lineTo x="21469"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2.jpg"/>
                    <pic:cNvPicPr/>
                  </pic:nvPicPr>
                  <pic:blipFill>
                    <a:blip r:embed="rId12">
                      <a:extLst>
                        <a:ext uri="{28A0092B-C50C-407E-A947-70E740481C1C}">
                          <a14:useLocalDpi xmlns:a14="http://schemas.microsoft.com/office/drawing/2010/main" val="0"/>
                        </a:ext>
                      </a:extLst>
                    </a:blip>
                    <a:stretch>
                      <a:fillRect/>
                    </a:stretch>
                  </pic:blipFill>
                  <pic:spPr>
                    <a:xfrm>
                      <a:off x="0" y="0"/>
                      <a:ext cx="1571625" cy="1223645"/>
                    </a:xfrm>
                    <a:prstGeom prst="rect">
                      <a:avLst/>
                    </a:prstGeom>
                  </pic:spPr>
                </pic:pic>
              </a:graphicData>
            </a:graphic>
            <wp14:sizeRelH relativeFrom="margin">
              <wp14:pctWidth>0</wp14:pctWidth>
            </wp14:sizeRelH>
            <wp14:sizeRelV relativeFrom="margin">
              <wp14:pctHeight>0</wp14:pctHeight>
            </wp14:sizeRelV>
          </wp:anchor>
        </w:drawing>
      </w:r>
      <w:r w:rsidR="00DA6FD8" w:rsidRPr="009B3848">
        <w:rPr>
          <w:rFonts w:ascii="Calibri" w:hAnsi="Calibri"/>
          <w:sz w:val="23"/>
          <w:szCs w:val="23"/>
        </w:rPr>
        <w:t xml:space="preserve">The crowning achievements of this collaboration are the establishment of the Unified Laboratory System (ULS) based on the “One Health” Concept, representing by 22 human and animal surveillance labs throughout the country under the Ministries of Labour, Health and Social Affaris and Agriculture, and the Richard Lugar Center for Public Health Research, a state-of- the art biosafety level 3 research facility , unique in the Region, constructed </w:t>
      </w:r>
      <w:r w:rsidR="001C7C84" w:rsidRPr="009B3848">
        <w:rPr>
          <w:rFonts w:ascii="Calibri" w:hAnsi="Calibri"/>
          <w:sz w:val="23"/>
          <w:szCs w:val="23"/>
        </w:rPr>
        <w:t xml:space="preserve"> </w:t>
      </w:r>
      <w:r w:rsidR="00DA6FD8" w:rsidRPr="009B3848">
        <w:rPr>
          <w:rFonts w:ascii="Calibri" w:hAnsi="Calibri"/>
          <w:sz w:val="23"/>
          <w:szCs w:val="23"/>
        </w:rPr>
        <w:t>and handed over to the NCDC for operation and ownership in 2013. The US investment in improving lab infrastructure, developing human resources, supporting research projects, amounts around 350 mln USD.</w:t>
      </w:r>
      <w:r w:rsidR="001C7C84" w:rsidRPr="009B3848">
        <w:rPr>
          <w:rFonts w:ascii="Calibri" w:hAnsi="Calibri"/>
          <w:sz w:val="23"/>
          <w:szCs w:val="23"/>
          <w:lang w:val="en-US"/>
        </w:rPr>
        <w:t xml:space="preserve"> Through the CBEP support the</w:t>
      </w:r>
      <w:r w:rsidR="001C7C84" w:rsidRPr="009B3848">
        <w:rPr>
          <w:rFonts w:ascii="Calibri" w:hAnsi="Calibri"/>
          <w:sz w:val="23"/>
          <w:szCs w:val="23"/>
        </w:rPr>
        <w:t xml:space="preserve"> Electronic Integrated Disease Surveillance System (EIDSS) has been designed as an electronic tool of the ULS to strengthen and support monitoring and prevention of human and animal diseases and facilitates International Health Regulations (IHR) compliance in real time.</w:t>
      </w:r>
    </w:p>
    <w:p w14:paraId="0D6F2FE2" w14:textId="77777777" w:rsidR="001C7C84" w:rsidRPr="009B3848" w:rsidRDefault="001C7C84" w:rsidP="001C7C84">
      <w:pPr>
        <w:spacing w:after="120" w:line="276" w:lineRule="auto"/>
        <w:jc w:val="both"/>
        <w:rPr>
          <w:rFonts w:ascii="Calibri" w:hAnsi="Calibri"/>
          <w:sz w:val="23"/>
          <w:szCs w:val="23"/>
          <w:lang w:val="en-US"/>
        </w:rPr>
      </w:pPr>
      <w:r w:rsidRPr="009B3848">
        <w:rPr>
          <w:rFonts w:ascii="Calibri" w:hAnsi="Calibri"/>
          <w:noProof/>
          <w:sz w:val="23"/>
          <w:szCs w:val="23"/>
          <w:lang w:val="en-US"/>
        </w:rPr>
        <w:drawing>
          <wp:anchor distT="0" distB="0" distL="114300" distR="114300" simplePos="0" relativeHeight="251664384" behindDoc="1" locked="0" layoutInCell="1" allowOverlap="1" wp14:anchorId="65D37CB5" wp14:editId="7D64273B">
            <wp:simplePos x="0" y="0"/>
            <wp:positionH relativeFrom="margin">
              <wp:align>left</wp:align>
            </wp:positionH>
            <wp:positionV relativeFrom="paragraph">
              <wp:posOffset>31750</wp:posOffset>
            </wp:positionV>
            <wp:extent cx="1558290" cy="1038225"/>
            <wp:effectExtent l="0" t="0" r="3810" b="9525"/>
            <wp:wrapTight wrapText="bothSides">
              <wp:wrapPolygon edited="0">
                <wp:start x="0" y="0"/>
                <wp:lineTo x="0" y="21402"/>
                <wp:lineTo x="21389" y="21402"/>
                <wp:lineTo x="21389"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17.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58290" cy="1038225"/>
                    </a:xfrm>
                    <a:prstGeom prst="rect">
                      <a:avLst/>
                    </a:prstGeom>
                  </pic:spPr>
                </pic:pic>
              </a:graphicData>
            </a:graphic>
            <wp14:sizeRelH relativeFrom="margin">
              <wp14:pctWidth>0</wp14:pctWidth>
            </wp14:sizeRelH>
            <wp14:sizeRelV relativeFrom="margin">
              <wp14:pctHeight>0</wp14:pctHeight>
            </wp14:sizeRelV>
          </wp:anchor>
        </w:drawing>
      </w:r>
      <w:r w:rsidRPr="009B3848">
        <w:rPr>
          <w:rFonts w:ascii="Calibri" w:hAnsi="Calibri"/>
          <w:b/>
          <w:sz w:val="23"/>
          <w:szCs w:val="23"/>
        </w:rPr>
        <w:t>In 2014</w:t>
      </w:r>
      <w:r w:rsidRPr="009B3848">
        <w:rPr>
          <w:rFonts w:ascii="Calibri" w:hAnsi="Calibri"/>
          <w:sz w:val="23"/>
          <w:szCs w:val="23"/>
        </w:rPr>
        <w:t xml:space="preserve"> bilateral agreement and ratified by the Parliament of Georgia JTA (Joint Transition Agreement) defined a number of obligations and actions between two Governments for further cooperation. </w:t>
      </w:r>
      <w:r w:rsidRPr="009B3848">
        <w:rPr>
          <w:rFonts w:ascii="Calibri" w:hAnsi="Calibri"/>
          <w:sz w:val="23"/>
          <w:szCs w:val="23"/>
          <w:lang w:val="en-US"/>
        </w:rPr>
        <w:t>From</w:t>
      </w:r>
      <w:r w:rsidRPr="009B3848">
        <w:rPr>
          <w:rFonts w:ascii="Calibri" w:hAnsi="Calibri"/>
          <w:sz w:val="23"/>
          <w:szCs w:val="23"/>
        </w:rPr>
        <w:t xml:space="preserve"> the beginning of 2018 the Government of Georgia w</w:t>
      </w:r>
      <w:r w:rsidRPr="009B3848">
        <w:rPr>
          <w:rFonts w:ascii="Calibri" w:hAnsi="Calibri"/>
          <w:sz w:val="23"/>
          <w:szCs w:val="23"/>
          <w:lang w:val="en-US"/>
        </w:rPr>
        <w:t>ill</w:t>
      </w:r>
      <w:r w:rsidRPr="009B3848">
        <w:rPr>
          <w:rFonts w:ascii="Calibri" w:hAnsi="Calibri"/>
          <w:sz w:val="23"/>
          <w:szCs w:val="23"/>
        </w:rPr>
        <w:t xml:space="preserve"> tak</w:t>
      </w:r>
      <w:r w:rsidRPr="009B3848">
        <w:rPr>
          <w:rFonts w:ascii="Calibri" w:hAnsi="Calibri"/>
          <w:sz w:val="23"/>
          <w:szCs w:val="23"/>
          <w:lang w:val="en-US"/>
        </w:rPr>
        <w:t>e</w:t>
      </w:r>
      <w:r w:rsidRPr="009B3848">
        <w:rPr>
          <w:rFonts w:ascii="Calibri" w:hAnsi="Calibri"/>
          <w:sz w:val="23"/>
          <w:szCs w:val="23"/>
        </w:rPr>
        <w:t xml:space="preserve"> full responsibilities over the </w:t>
      </w:r>
      <w:r w:rsidRPr="009B3848">
        <w:rPr>
          <w:rFonts w:ascii="Calibri" w:hAnsi="Calibri"/>
          <w:sz w:val="23"/>
          <w:szCs w:val="23"/>
          <w:lang w:val="en-US"/>
        </w:rPr>
        <w:t xml:space="preserve">maintenance of the </w:t>
      </w:r>
      <w:r w:rsidRPr="009B3848">
        <w:rPr>
          <w:rFonts w:ascii="Calibri" w:hAnsi="Calibri"/>
          <w:sz w:val="23"/>
          <w:szCs w:val="23"/>
        </w:rPr>
        <w:t>Unified Laboratory System and the R. Lugar Center</w:t>
      </w:r>
      <w:r w:rsidRPr="009B3848">
        <w:rPr>
          <w:rFonts w:ascii="Calibri" w:hAnsi="Calibri"/>
          <w:sz w:val="23"/>
          <w:szCs w:val="23"/>
          <w:lang w:val="en-US"/>
        </w:rPr>
        <w:t>.</w:t>
      </w:r>
    </w:p>
    <w:p w14:paraId="7D8CAC4B" w14:textId="46BB4926" w:rsidR="00B70650" w:rsidRPr="009B3848" w:rsidRDefault="001C7C84" w:rsidP="00B70650">
      <w:pPr>
        <w:spacing w:after="120" w:line="276" w:lineRule="auto"/>
        <w:jc w:val="both"/>
        <w:rPr>
          <w:sz w:val="23"/>
          <w:szCs w:val="23"/>
        </w:rPr>
      </w:pPr>
      <w:r w:rsidRPr="009B3848">
        <w:rPr>
          <w:rFonts w:ascii="Calibri" w:hAnsi="Calibri"/>
          <w:noProof/>
          <w:sz w:val="23"/>
          <w:szCs w:val="23"/>
          <w:lang w:val="en-US"/>
        </w:rPr>
        <w:drawing>
          <wp:anchor distT="0" distB="0" distL="114300" distR="114300" simplePos="0" relativeHeight="251663360" behindDoc="1" locked="0" layoutInCell="1" allowOverlap="1" wp14:anchorId="06420FD4" wp14:editId="2F65E234">
            <wp:simplePos x="0" y="0"/>
            <wp:positionH relativeFrom="margin">
              <wp:align>left</wp:align>
            </wp:positionH>
            <wp:positionV relativeFrom="paragraph">
              <wp:posOffset>683895</wp:posOffset>
            </wp:positionV>
            <wp:extent cx="1247775" cy="1303655"/>
            <wp:effectExtent l="0" t="0" r="9525" b="0"/>
            <wp:wrapTight wrapText="bothSides">
              <wp:wrapPolygon edited="0">
                <wp:start x="0" y="0"/>
                <wp:lineTo x="0" y="21148"/>
                <wp:lineTo x="21435" y="21148"/>
                <wp:lineTo x="21435"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3.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247775" cy="1303655"/>
                    </a:xfrm>
                    <a:prstGeom prst="rect">
                      <a:avLst/>
                    </a:prstGeom>
                  </pic:spPr>
                </pic:pic>
              </a:graphicData>
            </a:graphic>
            <wp14:sizeRelH relativeFrom="margin">
              <wp14:pctWidth>0</wp14:pctWidth>
            </wp14:sizeRelH>
            <wp14:sizeRelV relativeFrom="margin">
              <wp14:pctHeight>0</wp14:pctHeight>
            </wp14:sizeRelV>
          </wp:anchor>
        </w:drawing>
      </w:r>
      <w:r w:rsidR="00B70650" w:rsidRPr="009B3848">
        <w:rPr>
          <w:rFonts w:ascii="Calibri" w:hAnsi="Calibri"/>
          <w:sz w:val="23"/>
          <w:szCs w:val="23"/>
        </w:rPr>
        <w:t>Due to this support, nowadays, Georgia is a leader country in the Region with strong laboratory and epidemiological capacity; bio safety &amp; security standards; with diagnostic and reporting systems; with academic and bio-medical scientific research potential</w:t>
      </w:r>
      <w:r w:rsidR="00B70650" w:rsidRPr="009B3848">
        <w:rPr>
          <w:rFonts w:ascii="Calibri" w:hAnsi="Calibri"/>
          <w:sz w:val="23"/>
          <w:szCs w:val="23"/>
          <w:lang w:val="en-US"/>
        </w:rPr>
        <w:t>.</w:t>
      </w:r>
      <w:r w:rsidR="00BC5A64" w:rsidRPr="009B3848">
        <w:rPr>
          <w:rFonts w:ascii="Calibri" w:hAnsi="Calibri"/>
          <w:sz w:val="23"/>
          <w:szCs w:val="23"/>
          <w:lang w:val="en-US"/>
        </w:rPr>
        <w:t xml:space="preserve"> As a pilot project DTRA also supported the establishment of the electronic educational platform for Georgian medical doctors throughout the country in collaboration with British Medical Journal (BMJ). </w:t>
      </w:r>
      <w:r w:rsidRPr="009B3848">
        <w:rPr>
          <w:rFonts w:ascii="Calibri" w:hAnsi="Calibri"/>
          <w:sz w:val="23"/>
          <w:szCs w:val="23"/>
          <w:lang w:val="en-US"/>
        </w:rPr>
        <w:t xml:space="preserve"> </w:t>
      </w:r>
      <w:r w:rsidR="005F2C3D" w:rsidRPr="009B3848">
        <w:rPr>
          <w:rFonts w:ascii="Calibri" w:hAnsi="Calibri"/>
          <w:sz w:val="23"/>
          <w:szCs w:val="23"/>
          <w:lang w:val="en-US"/>
        </w:rPr>
        <w:t>Together with CDC, DTRA supports and promotes Georgia in GHSA activities globally.</w:t>
      </w:r>
    </w:p>
    <w:p w14:paraId="1A38E739" w14:textId="2C4C012E" w:rsidR="009B3848" w:rsidRPr="009B3848" w:rsidRDefault="00B70650" w:rsidP="009B3848">
      <w:pPr>
        <w:spacing w:after="120" w:line="276" w:lineRule="auto"/>
        <w:jc w:val="both"/>
        <w:rPr>
          <w:sz w:val="23"/>
          <w:szCs w:val="23"/>
        </w:rPr>
      </w:pPr>
      <w:r w:rsidRPr="009B3848">
        <w:rPr>
          <w:rFonts w:ascii="Calibri" w:hAnsi="Calibri"/>
          <w:sz w:val="23"/>
          <w:szCs w:val="23"/>
          <w:lang w:val="en-US"/>
        </w:rPr>
        <w:t>From the future perspective the</w:t>
      </w:r>
      <w:r w:rsidR="00DA6FD8" w:rsidRPr="009B3848">
        <w:rPr>
          <w:rFonts w:ascii="Calibri" w:hAnsi="Calibri"/>
          <w:sz w:val="23"/>
          <w:szCs w:val="23"/>
        </w:rPr>
        <w:t xml:space="preserve"> DTRA</w:t>
      </w:r>
      <w:r w:rsidRPr="009B3848">
        <w:rPr>
          <w:rFonts w:ascii="Calibri" w:hAnsi="Calibri"/>
          <w:sz w:val="23"/>
          <w:szCs w:val="23"/>
          <w:lang w:val="en-US"/>
        </w:rPr>
        <w:t>,</w:t>
      </w:r>
      <w:r w:rsidR="00DA6FD8" w:rsidRPr="009B3848">
        <w:rPr>
          <w:rFonts w:ascii="Calibri" w:hAnsi="Calibri"/>
          <w:sz w:val="23"/>
          <w:szCs w:val="23"/>
        </w:rPr>
        <w:t xml:space="preserve"> </w:t>
      </w:r>
      <w:r w:rsidRPr="009B3848">
        <w:rPr>
          <w:rFonts w:ascii="Calibri" w:hAnsi="Calibri"/>
          <w:sz w:val="23"/>
          <w:szCs w:val="23"/>
          <w:lang w:val="en-US"/>
        </w:rPr>
        <w:t xml:space="preserve">through the CBEP, </w:t>
      </w:r>
      <w:r w:rsidR="00DA6FD8" w:rsidRPr="009B3848">
        <w:rPr>
          <w:rFonts w:ascii="Calibri" w:hAnsi="Calibri"/>
          <w:sz w:val="23"/>
          <w:szCs w:val="23"/>
        </w:rPr>
        <w:t xml:space="preserve">is planning to support Georgia, and namely, NCDC to become a Regional Hub and cross-border lead for neighboring countries to share experience on epidemiological and laboratory surveillance; to provide training mentorship, to promote scientific </w:t>
      </w:r>
      <w:r w:rsidR="002E5AC3" w:rsidRPr="009B3848">
        <w:rPr>
          <w:rFonts w:ascii="Calibri" w:hAnsi="Calibri"/>
          <w:sz w:val="23"/>
          <w:szCs w:val="23"/>
          <w:lang w:val="en-US"/>
        </w:rPr>
        <w:t>diplomacy</w:t>
      </w:r>
      <w:r w:rsidR="00DA6FD8" w:rsidRPr="009B3848">
        <w:rPr>
          <w:rFonts w:ascii="Calibri" w:hAnsi="Calibri"/>
          <w:sz w:val="23"/>
          <w:szCs w:val="23"/>
        </w:rPr>
        <w:t>.</w:t>
      </w:r>
    </w:p>
    <w:p w14:paraId="140B27E9" w14:textId="77777777" w:rsidR="009B3848" w:rsidRPr="00967693" w:rsidRDefault="009B3848" w:rsidP="009B3848">
      <w:pPr>
        <w:spacing w:after="120" w:line="240" w:lineRule="auto"/>
        <w:contextualSpacing/>
        <w:jc w:val="center"/>
        <w:rPr>
          <w:rFonts w:ascii="Calibri" w:eastAsia="Calibri" w:hAnsi="Calibri" w:cs="Calibri"/>
          <w:color w:val="548DD4"/>
          <w:sz w:val="24"/>
          <w:szCs w:val="24"/>
          <w:lang w:val="en-US"/>
        </w:rPr>
      </w:pPr>
      <w:r w:rsidRPr="00967693">
        <w:rPr>
          <w:rFonts w:ascii="Calibri" w:eastAsia="Calibri" w:hAnsi="Calibri" w:cs="Calibri"/>
          <w:color w:val="548DD4"/>
          <w:sz w:val="24"/>
          <w:szCs w:val="24"/>
          <w:lang w:val="en-US"/>
        </w:rPr>
        <w:t>_______________________________________________</w:t>
      </w:r>
    </w:p>
    <w:p w14:paraId="388AADC0" w14:textId="2E04332A" w:rsidR="009B3848" w:rsidRPr="00CB4BCC" w:rsidRDefault="009112DF" w:rsidP="009B3848">
      <w:pPr>
        <w:spacing w:after="120" w:line="276" w:lineRule="auto"/>
        <w:ind w:left="-142"/>
        <w:jc w:val="both"/>
        <w:rPr>
          <w:rFonts w:ascii="Calibri" w:hAnsi="Calibri"/>
          <w:sz w:val="24"/>
          <w:szCs w:val="24"/>
          <w:lang w:val="en-US"/>
        </w:rPr>
      </w:pPr>
      <w:r>
        <w:rPr>
          <w:rFonts w:ascii="Calibri" w:eastAsiaTheme="majorEastAsia" w:hAnsi="Calibri" w:cs="Calibri"/>
          <w:bCs/>
          <w:i/>
          <w:noProof/>
          <w:color w:val="1F3864" w:themeColor="accent1" w:themeShade="80"/>
          <w:sz w:val="36"/>
          <w:szCs w:val="36"/>
          <w:lang w:val="en-US"/>
        </w:rPr>
        <w:drawing>
          <wp:anchor distT="0" distB="0" distL="114300" distR="114300" simplePos="0" relativeHeight="251667456" behindDoc="0" locked="0" layoutInCell="1" allowOverlap="1" wp14:anchorId="0C32575E" wp14:editId="47DB371C">
            <wp:simplePos x="0" y="0"/>
            <wp:positionH relativeFrom="column">
              <wp:posOffset>4014929</wp:posOffset>
            </wp:positionH>
            <wp:positionV relativeFrom="paragraph">
              <wp:posOffset>344291</wp:posOffset>
            </wp:positionV>
            <wp:extent cx="1828800" cy="601345"/>
            <wp:effectExtent l="0" t="0" r="0" b="825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NCDC-new-logo + text.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828800" cy="601345"/>
                    </a:xfrm>
                    <a:prstGeom prst="rect">
                      <a:avLst/>
                    </a:prstGeom>
                  </pic:spPr>
                </pic:pic>
              </a:graphicData>
            </a:graphic>
            <wp14:sizeRelH relativeFrom="margin">
              <wp14:pctWidth>0</wp14:pctWidth>
            </wp14:sizeRelH>
            <wp14:sizeRelV relativeFrom="margin">
              <wp14:pctHeight>0</wp14:pctHeight>
            </wp14:sizeRelV>
          </wp:anchor>
        </w:drawing>
      </w:r>
    </w:p>
    <w:tbl>
      <w:tblPr>
        <w:tblStyle w:val="TableGrid"/>
        <w:tblpPr w:leftFromText="180" w:rightFromText="180" w:vertAnchor="text" w:horzAnchor="margin" w:tblpX="-426" w:tblpY="87"/>
        <w:tblW w:w="10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4"/>
        <w:gridCol w:w="5146"/>
      </w:tblGrid>
      <w:tr w:rsidR="009B3848" w:rsidRPr="00967693" w14:paraId="5BB5D903" w14:textId="77777777" w:rsidTr="00AA1D32">
        <w:trPr>
          <w:trHeight w:val="1886"/>
        </w:trPr>
        <w:tc>
          <w:tcPr>
            <w:tcW w:w="5564" w:type="dxa"/>
          </w:tcPr>
          <w:p w14:paraId="79DAAE17" w14:textId="71E14CD2" w:rsidR="009B3848" w:rsidRDefault="009B3848" w:rsidP="009B3848">
            <w:pPr>
              <w:spacing w:after="120"/>
              <w:contextualSpacing/>
              <w:jc w:val="center"/>
              <w:rPr>
                <w:rFonts w:ascii="Calibri" w:eastAsia="Calibri" w:hAnsi="Calibri" w:cs="Calibri"/>
                <w:color w:val="365F91"/>
              </w:rPr>
            </w:pPr>
            <w:r w:rsidRPr="00967693">
              <w:rPr>
                <w:rFonts w:ascii="Calibri" w:eastAsia="Calibri" w:hAnsi="Calibri" w:cs="Calibri"/>
                <w:color w:val="365F91"/>
              </w:rPr>
              <w:t xml:space="preserve">    </w:t>
            </w:r>
            <w:r w:rsidR="00AA1D32">
              <w:rPr>
                <w:rFonts w:ascii="Calibri" w:hAnsi="Calibri" w:cs="Calibri"/>
                <w:b/>
                <w:bCs/>
                <w:noProof/>
                <w:sz w:val="24"/>
                <w:szCs w:val="24"/>
              </w:rPr>
              <w:drawing>
                <wp:inline distT="0" distB="0" distL="0" distR="0" wp14:anchorId="6B4CF94A" wp14:editId="03048665">
                  <wp:extent cx="2023638" cy="59338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MOH 1 Logo-ENG.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58151" cy="603507"/>
                          </a:xfrm>
                          <a:prstGeom prst="rect">
                            <a:avLst/>
                          </a:prstGeom>
                        </pic:spPr>
                      </pic:pic>
                    </a:graphicData>
                  </a:graphic>
                </wp:inline>
              </w:drawing>
            </w:r>
            <w:r w:rsidRPr="00967693">
              <w:rPr>
                <w:rFonts w:ascii="Calibri" w:eastAsia="Calibri" w:hAnsi="Calibri" w:cs="Calibri"/>
                <w:color w:val="365F91"/>
              </w:rPr>
              <w:t xml:space="preserve">     </w:t>
            </w:r>
          </w:p>
          <w:p w14:paraId="48201700" w14:textId="77777777" w:rsidR="009112DF" w:rsidRPr="009112DF" w:rsidRDefault="009112DF" w:rsidP="009B3848">
            <w:pPr>
              <w:spacing w:after="120"/>
              <w:contextualSpacing/>
              <w:jc w:val="center"/>
              <w:rPr>
                <w:rFonts w:ascii="Calibri" w:eastAsia="Calibri" w:hAnsi="Calibri" w:cs="Calibri"/>
                <w:color w:val="365F91"/>
                <w:sz w:val="4"/>
                <w:szCs w:val="4"/>
              </w:rPr>
            </w:pPr>
          </w:p>
          <w:p w14:paraId="5555AC87" w14:textId="5CD42E01" w:rsidR="009B3848" w:rsidRPr="00967693" w:rsidRDefault="009B3848" w:rsidP="009112DF">
            <w:pPr>
              <w:widowControl w:val="0"/>
              <w:outlineLvl w:val="1"/>
              <w:rPr>
                <w:rFonts w:ascii="Calibri" w:eastAsia="Times New Roman" w:hAnsi="Calibri" w:cs="Calibri"/>
                <w:color w:val="365F91"/>
              </w:rPr>
            </w:pPr>
            <w:r w:rsidRPr="00967693">
              <w:rPr>
                <w:rFonts w:ascii="Calibri" w:eastAsia="Times New Roman" w:hAnsi="Calibri" w:cs="Calibri"/>
                <w:color w:val="365F91"/>
              </w:rPr>
              <w:t xml:space="preserve">Ministry of </w:t>
            </w:r>
            <w:r w:rsidR="009112DF">
              <w:rPr>
                <w:rFonts w:ascii="Calibri" w:eastAsia="Times New Roman" w:hAnsi="Calibri" w:cs="Calibri"/>
                <w:color w:val="365F91"/>
              </w:rPr>
              <w:t xml:space="preserve">Internally Displaced Persons from the Occupied Territories, </w:t>
            </w:r>
            <w:r w:rsidRPr="00967693">
              <w:rPr>
                <w:rFonts w:ascii="Calibri" w:eastAsia="Times New Roman" w:hAnsi="Calibri" w:cs="Calibri"/>
                <w:color w:val="365F91"/>
              </w:rPr>
              <w:t xml:space="preserve">Labour, Health and Social Affairs of </w:t>
            </w:r>
            <w:r w:rsidR="009112DF">
              <w:rPr>
                <w:rFonts w:ascii="Calibri" w:eastAsia="Times New Roman" w:hAnsi="Calibri" w:cs="Calibri"/>
                <w:color w:val="365F91"/>
              </w:rPr>
              <w:t xml:space="preserve">    </w:t>
            </w:r>
            <w:r w:rsidRPr="00967693">
              <w:rPr>
                <w:rFonts w:ascii="Calibri" w:eastAsia="Times New Roman" w:hAnsi="Calibri" w:cs="Calibri"/>
                <w:color w:val="365F91"/>
              </w:rPr>
              <w:t>Georgia</w:t>
            </w:r>
          </w:p>
          <w:p w14:paraId="52C8A0C4" w14:textId="09EE70E0" w:rsidR="009B3848" w:rsidRPr="00967693" w:rsidRDefault="009112DF" w:rsidP="009112DF">
            <w:pPr>
              <w:spacing w:after="120"/>
              <w:contextualSpacing/>
              <w:rPr>
                <w:rFonts w:ascii="Sylfaen" w:eastAsia="Times New Roman" w:hAnsi="Sylfaen" w:cs="Calibri"/>
                <w:bCs/>
                <w:color w:val="365F91"/>
              </w:rPr>
            </w:pPr>
            <w:r>
              <w:rPr>
                <w:rFonts w:ascii="Calibri" w:eastAsia="Times New Roman" w:hAnsi="Calibri" w:cs="Calibri"/>
                <w:bCs/>
                <w:color w:val="365F91"/>
              </w:rPr>
              <w:t xml:space="preserve">             </w:t>
            </w:r>
            <w:r w:rsidR="009B3848" w:rsidRPr="00967693">
              <w:rPr>
                <w:rFonts w:ascii="Calibri" w:eastAsia="Times New Roman" w:hAnsi="Calibri" w:cs="Calibri"/>
                <w:bCs/>
                <w:color w:val="365F91"/>
              </w:rPr>
              <w:t>144, A. Tsereteli avenue. Tbilisi, Georgia, 0119</w:t>
            </w:r>
          </w:p>
          <w:p w14:paraId="3D32D924" w14:textId="03CC1A05" w:rsidR="009B3848" w:rsidRPr="00967693" w:rsidRDefault="009B3848" w:rsidP="009112DF">
            <w:pPr>
              <w:spacing w:after="120"/>
              <w:contextualSpacing/>
              <w:jc w:val="center"/>
              <w:rPr>
                <w:rFonts w:ascii="Calibri" w:eastAsia="Calibri" w:hAnsi="Calibri" w:cs="Calibri"/>
                <w:color w:val="365F91"/>
              </w:rPr>
            </w:pPr>
            <w:r w:rsidRPr="00967693">
              <w:rPr>
                <w:rFonts w:ascii="Calibri" w:eastAsia="Times New Roman" w:hAnsi="Calibri" w:cs="Calibri"/>
                <w:bCs/>
                <w:color w:val="365F91"/>
              </w:rPr>
              <w:t>www.moh.gov.ge</w:t>
            </w:r>
          </w:p>
        </w:tc>
        <w:tc>
          <w:tcPr>
            <w:tcW w:w="5146" w:type="dxa"/>
          </w:tcPr>
          <w:p w14:paraId="62C10B13" w14:textId="145C2500" w:rsidR="009B3848" w:rsidRPr="00967693" w:rsidRDefault="009B3848" w:rsidP="009B3848">
            <w:pPr>
              <w:spacing w:after="120"/>
              <w:contextualSpacing/>
              <w:jc w:val="center"/>
              <w:rPr>
                <w:rFonts w:ascii="Calibri" w:eastAsia="Times New Roman" w:hAnsi="Calibri" w:cs="Calibri"/>
                <w:b/>
                <w:bCs/>
                <w:i/>
                <w:color w:val="365F91"/>
              </w:rPr>
            </w:pPr>
            <w:r w:rsidRPr="00967693">
              <w:rPr>
                <w:rFonts w:ascii="Calibri" w:eastAsia="Times New Roman" w:hAnsi="Calibri" w:cs="Calibri"/>
                <w:b/>
                <w:bCs/>
                <w:i/>
                <w:color w:val="365F91"/>
              </w:rPr>
              <w:t xml:space="preserve"> </w:t>
            </w:r>
          </w:p>
          <w:p w14:paraId="49B9841A" w14:textId="256D520F" w:rsidR="009112DF" w:rsidRDefault="009112DF" w:rsidP="009B3848">
            <w:pPr>
              <w:widowControl w:val="0"/>
              <w:ind w:left="100"/>
              <w:outlineLvl w:val="1"/>
              <w:rPr>
                <w:rFonts w:ascii="Calibri" w:eastAsia="Times New Roman" w:hAnsi="Calibri" w:cs="Calibri"/>
                <w:color w:val="365F91"/>
              </w:rPr>
            </w:pPr>
          </w:p>
          <w:p w14:paraId="71075613" w14:textId="0C1F0E6F" w:rsidR="009112DF" w:rsidRDefault="009112DF" w:rsidP="009B3848">
            <w:pPr>
              <w:widowControl w:val="0"/>
              <w:ind w:left="100"/>
              <w:outlineLvl w:val="1"/>
              <w:rPr>
                <w:rFonts w:ascii="Calibri" w:eastAsia="Times New Roman" w:hAnsi="Calibri" w:cs="Calibri"/>
                <w:color w:val="365F91"/>
              </w:rPr>
            </w:pPr>
          </w:p>
          <w:p w14:paraId="30A6B2C2" w14:textId="77777777" w:rsidR="00AA1D32" w:rsidRDefault="00AA1D32" w:rsidP="009112DF">
            <w:pPr>
              <w:widowControl w:val="0"/>
              <w:outlineLvl w:val="1"/>
              <w:rPr>
                <w:rFonts w:ascii="Calibri" w:eastAsia="Times New Roman" w:hAnsi="Calibri" w:cs="Calibri"/>
                <w:color w:val="365F91"/>
              </w:rPr>
            </w:pPr>
          </w:p>
          <w:p w14:paraId="22D2BF4E" w14:textId="77777777" w:rsidR="009B3848" w:rsidRPr="00967693" w:rsidRDefault="009B3848" w:rsidP="009112DF">
            <w:pPr>
              <w:widowControl w:val="0"/>
              <w:outlineLvl w:val="1"/>
              <w:rPr>
                <w:rFonts w:ascii="Calibri" w:eastAsia="Times New Roman" w:hAnsi="Calibri" w:cs="Calibri"/>
                <w:color w:val="365F91"/>
              </w:rPr>
            </w:pPr>
            <w:r w:rsidRPr="00967693">
              <w:rPr>
                <w:rFonts w:ascii="Calibri" w:eastAsia="Times New Roman" w:hAnsi="Calibri" w:cs="Calibri"/>
                <w:color w:val="365F91"/>
              </w:rPr>
              <w:t>National Center for Disease Control and Public Health</w:t>
            </w:r>
          </w:p>
          <w:p w14:paraId="0A01E04A" w14:textId="2DB4D61C" w:rsidR="009B3848" w:rsidRPr="00967693" w:rsidRDefault="009112DF" w:rsidP="009B3848">
            <w:pPr>
              <w:widowControl w:val="0"/>
              <w:ind w:left="100"/>
              <w:jc w:val="center"/>
              <w:outlineLvl w:val="1"/>
              <w:rPr>
                <w:rFonts w:ascii="Calibri" w:eastAsia="Times New Roman" w:hAnsi="Calibri" w:cs="Calibri"/>
                <w:color w:val="365F91"/>
              </w:rPr>
            </w:pPr>
            <w:r>
              <w:rPr>
                <w:rFonts w:ascii="Callibri" w:eastAsia="Times New Roman" w:hAnsi="Callibri" w:cs="Calibri"/>
                <w:color w:val="365F91"/>
              </w:rPr>
              <w:t xml:space="preserve">Kakheti Hwy </w:t>
            </w:r>
            <w:r>
              <w:rPr>
                <w:rFonts w:eastAsia="Times New Roman" w:cs="Calibri"/>
                <w:color w:val="365F91"/>
                <w:lang w:val="ka-GE"/>
              </w:rPr>
              <w:t>99</w:t>
            </w:r>
            <w:r>
              <w:rPr>
                <w:rFonts w:ascii="Calibri" w:eastAsia="Times New Roman" w:hAnsi="Calibri" w:cs="Calibri"/>
                <w:color w:val="365F91"/>
              </w:rPr>
              <w:t>. Tbilisi, Georgia, 0198</w:t>
            </w:r>
          </w:p>
          <w:p w14:paraId="05063F44" w14:textId="77777777" w:rsidR="009B3848" w:rsidRPr="00967693" w:rsidRDefault="009B3848" w:rsidP="009B3848">
            <w:pPr>
              <w:spacing w:after="120"/>
              <w:contextualSpacing/>
              <w:jc w:val="center"/>
              <w:rPr>
                <w:rFonts w:ascii="Calibri" w:eastAsia="Calibri" w:hAnsi="Calibri" w:cs="Calibri"/>
                <w:color w:val="365F91"/>
              </w:rPr>
            </w:pPr>
            <w:r w:rsidRPr="00967693">
              <w:rPr>
                <w:rFonts w:ascii="Calibri" w:eastAsia="Calibri" w:hAnsi="Calibri" w:cs="Calibri"/>
                <w:color w:val="365F91"/>
              </w:rPr>
              <w:t>www.ncdc.ge</w:t>
            </w:r>
          </w:p>
        </w:tc>
      </w:tr>
    </w:tbl>
    <w:p w14:paraId="697248E5" w14:textId="606452DF" w:rsidR="009B3848" w:rsidRPr="009112DF" w:rsidRDefault="009B3848" w:rsidP="00DA6FD8">
      <w:pPr>
        <w:spacing w:after="120" w:line="276" w:lineRule="auto"/>
        <w:jc w:val="both"/>
        <w:rPr>
          <w:sz w:val="23"/>
          <w:szCs w:val="23"/>
          <w:lang w:val="en-US"/>
        </w:rPr>
      </w:pPr>
    </w:p>
    <w:sectPr w:rsidR="009B3848" w:rsidRPr="009112DF" w:rsidSect="00AA1D32">
      <w:pgSz w:w="12240" w:h="15840"/>
      <w:pgMar w:top="540" w:right="850" w:bottom="270" w:left="1701" w:header="56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458A3E" w14:textId="77777777" w:rsidR="00C30D83" w:rsidRDefault="00C30D83" w:rsidP="008D2487">
      <w:pPr>
        <w:spacing w:after="0" w:line="240" w:lineRule="auto"/>
      </w:pPr>
      <w:r>
        <w:separator/>
      </w:r>
    </w:p>
  </w:endnote>
  <w:endnote w:type="continuationSeparator" w:id="0">
    <w:p w14:paraId="32ECAAFE" w14:textId="77777777" w:rsidR="00C30D83" w:rsidRDefault="00C30D83" w:rsidP="008D24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libri">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8E827D" w14:textId="77777777" w:rsidR="00C30D83" w:rsidRDefault="00C30D83" w:rsidP="008D2487">
      <w:pPr>
        <w:spacing w:after="0" w:line="240" w:lineRule="auto"/>
      </w:pPr>
      <w:r>
        <w:separator/>
      </w:r>
    </w:p>
  </w:footnote>
  <w:footnote w:type="continuationSeparator" w:id="0">
    <w:p w14:paraId="56E7EECD" w14:textId="77777777" w:rsidR="00C30D83" w:rsidRDefault="00C30D83" w:rsidP="008D248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9F014F"/>
    <w:multiLevelType w:val="hybridMultilevel"/>
    <w:tmpl w:val="DD42C41C"/>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hint="default"/>
      </w:rPr>
    </w:lvl>
    <w:lvl w:ilvl="8" w:tplc="043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C5B"/>
    <w:rsid w:val="000010A8"/>
    <w:rsid w:val="00030F41"/>
    <w:rsid w:val="000453F0"/>
    <w:rsid w:val="000472EE"/>
    <w:rsid w:val="000920F6"/>
    <w:rsid w:val="000E4AB6"/>
    <w:rsid w:val="0012116A"/>
    <w:rsid w:val="00131F19"/>
    <w:rsid w:val="00163A9C"/>
    <w:rsid w:val="0017391B"/>
    <w:rsid w:val="001A2416"/>
    <w:rsid w:val="001C7C84"/>
    <w:rsid w:val="001D437B"/>
    <w:rsid w:val="00223EEB"/>
    <w:rsid w:val="002E5AC3"/>
    <w:rsid w:val="00334A4F"/>
    <w:rsid w:val="00351A12"/>
    <w:rsid w:val="00354CA2"/>
    <w:rsid w:val="003C1DA1"/>
    <w:rsid w:val="003D5089"/>
    <w:rsid w:val="00454E0C"/>
    <w:rsid w:val="004C4E0A"/>
    <w:rsid w:val="004C5EA1"/>
    <w:rsid w:val="004D5645"/>
    <w:rsid w:val="00511AC5"/>
    <w:rsid w:val="00513273"/>
    <w:rsid w:val="005227D6"/>
    <w:rsid w:val="00522E02"/>
    <w:rsid w:val="00596995"/>
    <w:rsid w:val="005A2A0F"/>
    <w:rsid w:val="005B3DAB"/>
    <w:rsid w:val="005E4400"/>
    <w:rsid w:val="005E7E7F"/>
    <w:rsid w:val="005F2C3D"/>
    <w:rsid w:val="006116AA"/>
    <w:rsid w:val="006144E3"/>
    <w:rsid w:val="00637AE0"/>
    <w:rsid w:val="0065575F"/>
    <w:rsid w:val="006C3B2B"/>
    <w:rsid w:val="007231C5"/>
    <w:rsid w:val="00753D34"/>
    <w:rsid w:val="007A13CE"/>
    <w:rsid w:val="008163F6"/>
    <w:rsid w:val="008246C7"/>
    <w:rsid w:val="008407F3"/>
    <w:rsid w:val="008415BB"/>
    <w:rsid w:val="00852EAB"/>
    <w:rsid w:val="00871D4E"/>
    <w:rsid w:val="00884569"/>
    <w:rsid w:val="00886187"/>
    <w:rsid w:val="008B3D36"/>
    <w:rsid w:val="008D2487"/>
    <w:rsid w:val="008D2CF2"/>
    <w:rsid w:val="008E4006"/>
    <w:rsid w:val="009112DF"/>
    <w:rsid w:val="00922C5B"/>
    <w:rsid w:val="00926C8C"/>
    <w:rsid w:val="009357D6"/>
    <w:rsid w:val="00986548"/>
    <w:rsid w:val="009B3848"/>
    <w:rsid w:val="009F29A7"/>
    <w:rsid w:val="00A2427C"/>
    <w:rsid w:val="00AA1D32"/>
    <w:rsid w:val="00AB59E7"/>
    <w:rsid w:val="00AC79CC"/>
    <w:rsid w:val="00AD0BF3"/>
    <w:rsid w:val="00AD38ED"/>
    <w:rsid w:val="00B24B96"/>
    <w:rsid w:val="00B367B7"/>
    <w:rsid w:val="00B60AE6"/>
    <w:rsid w:val="00B70650"/>
    <w:rsid w:val="00B72E0F"/>
    <w:rsid w:val="00B863B6"/>
    <w:rsid w:val="00B87480"/>
    <w:rsid w:val="00BC5A64"/>
    <w:rsid w:val="00C14CFC"/>
    <w:rsid w:val="00C30D83"/>
    <w:rsid w:val="00C4100A"/>
    <w:rsid w:val="00CA5C66"/>
    <w:rsid w:val="00CB4BCC"/>
    <w:rsid w:val="00DA6FD8"/>
    <w:rsid w:val="00E3310D"/>
    <w:rsid w:val="00E43D8E"/>
    <w:rsid w:val="00E90AA5"/>
    <w:rsid w:val="00E96E70"/>
    <w:rsid w:val="00EE4395"/>
    <w:rsid w:val="00F07274"/>
    <w:rsid w:val="00F14C45"/>
    <w:rsid w:val="00F6755E"/>
    <w:rsid w:val="00FA11FF"/>
    <w:rsid w:val="00FB0011"/>
    <w:rsid w:val="00FB3C07"/>
    <w:rsid w:val="00FE070E"/>
    <w:rsid w:val="00FF52D7"/>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CC4F3B"/>
  <w15:chartTrackingRefBased/>
  <w15:docId w15:val="{4FC3837B-6D77-402C-A332-F2058DDC9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ka-G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1"/>
    <w:qFormat/>
    <w:rsid w:val="00FF52D7"/>
    <w:pPr>
      <w:widowControl w:val="0"/>
      <w:spacing w:after="0" w:line="240" w:lineRule="auto"/>
      <w:ind w:left="100"/>
      <w:outlineLvl w:val="1"/>
    </w:pPr>
    <w:rPr>
      <w:rFonts w:ascii="Times New Roman" w:eastAsia="Times New Roman" w:hAnsi="Times New Roman"/>
      <w:b/>
      <w:bCs/>
      <w:i/>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FF52D7"/>
    <w:rPr>
      <w:rFonts w:ascii="Times New Roman" w:eastAsia="Times New Roman" w:hAnsi="Times New Roman"/>
      <w:b/>
      <w:bCs/>
      <w:i/>
      <w:sz w:val="24"/>
      <w:szCs w:val="24"/>
      <w:lang w:val="en-US"/>
    </w:rPr>
  </w:style>
  <w:style w:type="paragraph" w:styleId="NormalWeb">
    <w:name w:val="Normal (Web)"/>
    <w:basedOn w:val="Normal"/>
    <w:uiPriority w:val="99"/>
    <w:unhideWhenUsed/>
    <w:rsid w:val="00EE4395"/>
    <w:pPr>
      <w:spacing w:after="0" w:line="240" w:lineRule="auto"/>
    </w:pPr>
    <w:rPr>
      <w:rFonts w:ascii="Times New Roman" w:hAnsi="Times New Roman" w:cs="Times New Roman"/>
      <w:sz w:val="24"/>
      <w:szCs w:val="24"/>
      <w:lang w:eastAsia="ka-GE"/>
    </w:rPr>
  </w:style>
  <w:style w:type="paragraph" w:styleId="Header">
    <w:name w:val="header"/>
    <w:basedOn w:val="Normal"/>
    <w:link w:val="HeaderChar"/>
    <w:uiPriority w:val="99"/>
    <w:unhideWhenUsed/>
    <w:rsid w:val="008D2487"/>
    <w:pPr>
      <w:tabs>
        <w:tab w:val="center" w:pos="4677"/>
        <w:tab w:val="right" w:pos="9355"/>
      </w:tabs>
      <w:spacing w:after="0" w:line="240" w:lineRule="auto"/>
    </w:pPr>
  </w:style>
  <w:style w:type="character" w:customStyle="1" w:styleId="HeaderChar">
    <w:name w:val="Header Char"/>
    <w:basedOn w:val="DefaultParagraphFont"/>
    <w:link w:val="Header"/>
    <w:uiPriority w:val="99"/>
    <w:rsid w:val="008D2487"/>
  </w:style>
  <w:style w:type="paragraph" w:styleId="Footer">
    <w:name w:val="footer"/>
    <w:basedOn w:val="Normal"/>
    <w:link w:val="FooterChar"/>
    <w:uiPriority w:val="99"/>
    <w:unhideWhenUsed/>
    <w:rsid w:val="008D2487"/>
    <w:pPr>
      <w:tabs>
        <w:tab w:val="center" w:pos="4677"/>
        <w:tab w:val="right" w:pos="9355"/>
      </w:tabs>
      <w:spacing w:after="0" w:line="240" w:lineRule="auto"/>
    </w:pPr>
  </w:style>
  <w:style w:type="character" w:customStyle="1" w:styleId="FooterChar">
    <w:name w:val="Footer Char"/>
    <w:basedOn w:val="DefaultParagraphFont"/>
    <w:link w:val="Footer"/>
    <w:uiPriority w:val="99"/>
    <w:rsid w:val="008D2487"/>
  </w:style>
  <w:style w:type="character" w:styleId="CommentReference">
    <w:name w:val="annotation reference"/>
    <w:basedOn w:val="DefaultParagraphFont"/>
    <w:uiPriority w:val="99"/>
    <w:semiHidden/>
    <w:unhideWhenUsed/>
    <w:rsid w:val="00CA5C66"/>
    <w:rPr>
      <w:sz w:val="16"/>
      <w:szCs w:val="16"/>
    </w:rPr>
  </w:style>
  <w:style w:type="paragraph" w:styleId="CommentText">
    <w:name w:val="annotation text"/>
    <w:basedOn w:val="Normal"/>
    <w:link w:val="CommentTextChar"/>
    <w:uiPriority w:val="99"/>
    <w:semiHidden/>
    <w:unhideWhenUsed/>
    <w:rsid w:val="00CA5C66"/>
    <w:pPr>
      <w:spacing w:line="240" w:lineRule="auto"/>
    </w:pPr>
    <w:rPr>
      <w:sz w:val="20"/>
      <w:szCs w:val="20"/>
    </w:rPr>
  </w:style>
  <w:style w:type="character" w:customStyle="1" w:styleId="CommentTextChar">
    <w:name w:val="Comment Text Char"/>
    <w:basedOn w:val="DefaultParagraphFont"/>
    <w:link w:val="CommentText"/>
    <w:uiPriority w:val="99"/>
    <w:semiHidden/>
    <w:rsid w:val="00CA5C66"/>
    <w:rPr>
      <w:sz w:val="20"/>
      <w:szCs w:val="20"/>
    </w:rPr>
  </w:style>
  <w:style w:type="paragraph" w:styleId="CommentSubject">
    <w:name w:val="annotation subject"/>
    <w:basedOn w:val="CommentText"/>
    <w:next w:val="CommentText"/>
    <w:link w:val="CommentSubjectChar"/>
    <w:uiPriority w:val="99"/>
    <w:semiHidden/>
    <w:unhideWhenUsed/>
    <w:rsid w:val="00CA5C66"/>
    <w:rPr>
      <w:b/>
      <w:bCs/>
    </w:rPr>
  </w:style>
  <w:style w:type="character" w:customStyle="1" w:styleId="CommentSubjectChar">
    <w:name w:val="Comment Subject Char"/>
    <w:basedOn w:val="CommentTextChar"/>
    <w:link w:val="CommentSubject"/>
    <w:uiPriority w:val="99"/>
    <w:semiHidden/>
    <w:rsid w:val="00CA5C66"/>
    <w:rPr>
      <w:b/>
      <w:bCs/>
      <w:sz w:val="20"/>
      <w:szCs w:val="20"/>
    </w:rPr>
  </w:style>
  <w:style w:type="paragraph" w:styleId="BalloonText">
    <w:name w:val="Balloon Text"/>
    <w:basedOn w:val="Normal"/>
    <w:link w:val="BalloonTextChar"/>
    <w:uiPriority w:val="99"/>
    <w:semiHidden/>
    <w:unhideWhenUsed/>
    <w:rsid w:val="00CA5C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5C66"/>
    <w:rPr>
      <w:rFonts w:ascii="Segoe UI" w:hAnsi="Segoe UI" w:cs="Segoe UI"/>
      <w:sz w:val="18"/>
      <w:szCs w:val="18"/>
    </w:rPr>
  </w:style>
  <w:style w:type="table" w:styleId="TableGrid">
    <w:name w:val="Table Grid"/>
    <w:basedOn w:val="TableNormal"/>
    <w:uiPriority w:val="59"/>
    <w:rsid w:val="009B384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901</Words>
  <Characters>5136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Elene Godziashvili</dc:creator>
  <cp:keywords/>
  <dc:description/>
  <cp:lastModifiedBy>Elene Godziashvili</cp:lastModifiedBy>
  <cp:revision>7</cp:revision>
  <dcterms:created xsi:type="dcterms:W3CDTF">2017-11-22T07:05:00Z</dcterms:created>
  <dcterms:modified xsi:type="dcterms:W3CDTF">2019-05-15T08:01:00Z</dcterms:modified>
</cp:coreProperties>
</file>